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A2" w:rsidRDefault="00F141A2" w:rsidP="007A456C">
      <w:pPr>
        <w:pStyle w:val="a00"/>
        <w:spacing w:after="0"/>
        <w:jc w:val="center"/>
        <w:rPr>
          <w:rFonts w:eastAsia="Times New Roman"/>
          <w:lang w:val="ru-RU"/>
        </w:rPr>
      </w:pPr>
      <w:bookmarkStart w:id="0" w:name="a1"/>
      <w:bookmarkEnd w:id="0"/>
      <w:r>
        <w:rPr>
          <w:rFonts w:eastAsia="Times New Roman"/>
          <w:lang w:val="ru-RU"/>
        </w:rPr>
        <w:t>Охрана труда: утверждаем перечни (списки) работ, профессий и должностей</w:t>
      </w:r>
    </w:p>
    <w:p w:rsidR="00F141A2" w:rsidRDefault="00F141A2" w:rsidP="007A456C">
      <w:pPr>
        <w:pStyle w:val="date1"/>
        <w:shd w:val="clear" w:color="auto" w:fill="F4F4F4"/>
        <w:spacing w:after="0"/>
        <w:divId w:val="1370448394"/>
        <w:rPr>
          <w:lang w:val="ru-RU"/>
        </w:rPr>
      </w:pPr>
      <w:r>
        <w:rPr>
          <w:lang w:val="ru-RU"/>
        </w:rPr>
        <w:t>29.03.2022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Работодатель (наниматель) приказом по организации утверждает перечни (списки) работ, профессий и должностей. В материале приведен общий приказ со всевозможными формулировками по утверждению перечней (списков) работ, профессий и должностей.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prikazorg"/>
        <w:divId w:val="775488957"/>
        <w:rPr>
          <w:lang w:val="ru-RU"/>
        </w:rPr>
      </w:pPr>
      <w:r>
        <w:rPr>
          <w:lang w:val="ru-RU"/>
        </w:rPr>
        <w:t>Наименование организации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rStyle w:val="prikazdocumenttype"/>
          <w:lang w:val="ru-RU"/>
        </w:rPr>
        <w:t>ПРИКАЗ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lang w:val="ru-RU"/>
        </w:rPr>
        <w:t>__.__.____ № _____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lang w:val="ru-RU"/>
        </w:rPr>
        <w:t>______________</w:t>
      </w:r>
    </w:p>
    <w:p w:rsidR="00F141A2" w:rsidRDefault="00F141A2" w:rsidP="007A456C">
      <w:pPr>
        <w:pStyle w:val="podstrochnikp"/>
        <w:ind w:left="227"/>
        <w:divId w:val="775488957"/>
        <w:rPr>
          <w:lang w:val="ru-RU"/>
        </w:rPr>
      </w:pPr>
      <w:r>
        <w:rPr>
          <w:lang w:val="ru-RU"/>
        </w:rPr>
        <w:t>(место издания)</w:t>
      </w:r>
    </w:p>
    <w:p w:rsidR="00F141A2" w:rsidRDefault="00F141A2" w:rsidP="007A456C">
      <w:pPr>
        <w:pStyle w:val="a0nomarg"/>
        <w:divId w:val="775488957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prikaznazv"/>
        <w:divId w:val="775488957"/>
        <w:rPr>
          <w:lang w:val="ru-RU"/>
        </w:rPr>
      </w:pPr>
      <w:r>
        <w:rPr>
          <w:lang w:val="ru-RU"/>
        </w:rPr>
        <w:t>Об утверждении перечня</w:t>
      </w:r>
      <w:r>
        <w:rPr>
          <w:lang w:val="ru-RU"/>
        </w:rPr>
        <w:br/>
        <w:t>(списка) работ…</w:t>
      </w:r>
    </w:p>
    <w:p w:rsidR="00F141A2" w:rsidRDefault="00F141A2" w:rsidP="007A456C">
      <w:pPr>
        <w:pStyle w:val="justify"/>
        <w:spacing w:after="0"/>
        <w:divId w:val="775488957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justify"/>
        <w:spacing w:after="0"/>
        <w:divId w:val="775488957"/>
        <w:rPr>
          <w:lang w:val="ru-RU"/>
        </w:rPr>
      </w:pPr>
      <w:r>
        <w:rPr>
          <w:lang w:val="ru-RU"/>
        </w:rPr>
        <w:t>На основании…</w:t>
      </w:r>
    </w:p>
    <w:p w:rsidR="00F141A2" w:rsidRDefault="00F141A2" w:rsidP="007A456C">
      <w:pPr>
        <w:pStyle w:val="a00"/>
        <w:spacing w:after="0"/>
        <w:divId w:val="775488957"/>
        <w:rPr>
          <w:lang w:val="ru-RU"/>
        </w:rPr>
      </w:pPr>
      <w:r>
        <w:rPr>
          <w:lang w:val="ru-RU"/>
        </w:rPr>
        <w:t>ПРИКАЗЫВАЮ:</w:t>
      </w:r>
    </w:p>
    <w:p w:rsidR="00F141A2" w:rsidRDefault="00F141A2" w:rsidP="007A456C">
      <w:pPr>
        <w:pStyle w:val="justify"/>
        <w:spacing w:after="0"/>
        <w:divId w:val="775488957"/>
        <w:rPr>
          <w:lang w:val="ru-RU"/>
        </w:rPr>
      </w:pPr>
      <w:r>
        <w:rPr>
          <w:lang w:val="ru-RU"/>
        </w:rPr>
        <w:t>Утвердить перечень (список)…</w:t>
      </w:r>
    </w:p>
    <w:p w:rsidR="00F141A2" w:rsidRDefault="00F141A2" w:rsidP="007A456C">
      <w:pPr>
        <w:pStyle w:val="justify"/>
        <w:spacing w:after="0"/>
        <w:divId w:val="775488957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justify"/>
        <w:spacing w:after="0"/>
        <w:divId w:val="775488957"/>
        <w:rPr>
          <w:lang w:val="ru-RU"/>
        </w:rPr>
      </w:pPr>
      <w:r>
        <w:rPr>
          <w:lang w:val="ru-RU"/>
        </w:rPr>
        <w:t>&lt;...&gt;</w:t>
      </w:r>
    </w:p>
    <w:p w:rsidR="00F141A2" w:rsidRDefault="00F141A2" w:rsidP="007A456C">
      <w:pPr>
        <w:pStyle w:val="justify"/>
        <w:spacing w:after="0"/>
        <w:divId w:val="775488957"/>
        <w:rPr>
          <w:lang w:val="ru-RU"/>
        </w:rPr>
      </w:pPr>
      <w:r>
        <w:rPr>
          <w:lang w:val="ru-RU"/>
        </w:rPr>
        <w:t> </w:t>
      </w:r>
    </w:p>
    <w:tbl>
      <w:tblPr>
        <w:tblW w:w="9356" w:type="dxa"/>
        <w:tblCellMar>
          <w:left w:w="80" w:type="dxa"/>
          <w:right w:w="80" w:type="dxa"/>
        </w:tblCellMar>
        <w:tblLook w:val="04A0"/>
      </w:tblPr>
      <w:tblGrid>
        <w:gridCol w:w="4536"/>
        <w:gridCol w:w="2268"/>
        <w:gridCol w:w="2552"/>
      </w:tblGrid>
      <w:tr w:rsidR="00F141A2">
        <w:trPr>
          <w:divId w:val="77548895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Руководитель организации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/>
                <w:iCs/>
              </w:rPr>
              <w:t>Подпись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Расшифровка подписи</w:t>
            </w:r>
          </w:p>
        </w:tc>
      </w:tr>
      <w:tr w:rsidR="00F141A2">
        <w:trPr>
          <w:divId w:val="77548895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</w:tr>
      <w:tr w:rsidR="00F141A2">
        <w:trPr>
          <w:divId w:val="77548895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Визы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</w:tr>
      <w:tr w:rsidR="00F141A2">
        <w:trPr>
          <w:divId w:val="77548895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</w:tr>
      <w:tr w:rsidR="00F141A2">
        <w:trPr>
          <w:divId w:val="77548895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С приказом ознакомлены: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/>
                <w:iCs/>
              </w:rPr>
              <w:t>Подпись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Расшифровка подписи</w:t>
            </w:r>
          </w:p>
        </w:tc>
      </w:tr>
      <w:tr w:rsidR="00F141A2">
        <w:trPr>
          <w:divId w:val="77548895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141A2" w:rsidRDefault="00F141A2" w:rsidP="007A45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/>
                <w:iCs/>
              </w:rPr>
              <w:t>Дата</w:t>
            </w:r>
          </w:p>
        </w:tc>
      </w:tr>
    </w:tbl>
    <w:p w:rsidR="00F141A2" w:rsidRDefault="00F141A2" w:rsidP="007A456C">
      <w:pPr>
        <w:pStyle w:val="2"/>
        <w:spacing w:after="0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Перечни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1. Перечень рабочих должностей служащих (профессий рабочих), которые должны проходить стажировку, с установлением ее продолжительности (не менее 2 рабочих дней).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4" w:anchor="a239" w:tooltip="+" w:history="1">
        <w:r>
          <w:rPr>
            <w:rStyle w:val="a3"/>
            <w:lang w:val="ru-RU"/>
          </w:rPr>
          <w:t>п.39</w:t>
        </w:r>
      </w:hyperlink>
      <w:r>
        <w:rPr>
          <w:lang w:val="ru-RU"/>
        </w:rPr>
        <w:t xml:space="preserve"> Инструкции о порядке обучения, стажировки, инструктажа и проверки знаний работающих по вопросам охраны труда, утв. постановлением Минтруда и соцзащиты от 28.11.2008 № 175.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2. Перечень должностей специалистов оперативного и оперативно-ремонтного персонала, которые должны проходить дублирование перед допуском к самостоятельной работе на теплоустановках и тепловых сетях.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п.5.5 </w:t>
      </w:r>
      <w:hyperlink r:id="rId5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458-2012 «Правила технической эксплуатации теплоустановок и тепловых сетей потребителей», утв. постановлением Минэнерго от 26.12.2012 № 66.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3. Перечень профессий рабочих, которые должны проходить проверку знаний по вопросам охраны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lastRenderedPageBreak/>
        <w:t xml:space="preserve">Норма: </w:t>
      </w:r>
      <w:hyperlink r:id="rId6" w:anchor="a227" w:tooltip="+" w:history="1">
        <w:r>
          <w:rPr>
            <w:rStyle w:val="a3"/>
            <w:lang w:val="ru-RU"/>
          </w:rPr>
          <w:t>п.52</w:t>
        </w:r>
      </w:hyperlink>
      <w:r>
        <w:rPr>
          <w:lang w:val="ru-RU"/>
        </w:rPr>
        <w:t xml:space="preserve"> Инструкции № 175.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4. Перечень должностей руководителей и специалистов, которые должны проходить проверку знаний по вопросам охраны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" w:anchor="a206" w:tooltip="+" w:history="1">
        <w:r>
          <w:rPr>
            <w:rStyle w:val="a3"/>
            <w:lang w:val="ru-RU"/>
          </w:rPr>
          <w:t>п.42</w:t>
        </w:r>
      </w:hyperlink>
      <w:r>
        <w:rPr>
          <w:lang w:val="ru-RU"/>
        </w:rPr>
        <w:t xml:space="preserve"> Инструкции № 175.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5. Перечень профессий и должностей работников, подлежащих проверке знаний </w:t>
      </w:r>
      <w:hyperlink r:id="rId8" w:anchor="a179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 xml:space="preserve"> 181-2009 «Правила технической эксплуатации электроустановок потребителей», утв. постановлением Минэнерго от 20.05.2009 № 16, </w:t>
      </w:r>
      <w:hyperlink r:id="rId9" w:anchor="a2" w:tooltip="+ Документ утратил силу с 1 июля 2022 г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 xml:space="preserve"> 427-2012 «Правила техники безопасности при эксплуатации электроустановок», утв. постановлением Минэнерго от 28.11.2012 № 228, </w:t>
      </w:r>
      <w:hyperlink r:id="rId10" w:anchor="a2" w:tooltip="+ ТКП утратил силу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339-2011 «Электроустановки на напряжение до 750 кВ. Линии электропередачи воздушные и токопроводы, устройства распределительные и трансформаторные подстанции, установки электросиловые и аккумуляторные, электроустановки жилых и общественных зданий. Правила устройства и защитные меры электробезопасности. Учет электроэнергии. Нормы приемо-сдаточных испытаний», утв. постановлением Минэнерго от 23.08.2011 № 44, Правилам устройства электроустановок (шестого издания, переработанного и дополненного, 1987 год).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 </w:t>
      </w:r>
    </w:p>
    <w:tbl>
      <w:tblPr>
        <w:tblW w:w="5000" w:type="pct"/>
        <w:tblCellMar>
          <w:left w:w="80" w:type="dxa"/>
          <w:right w:w="80" w:type="dxa"/>
        </w:tblCellMar>
        <w:tblLook w:val="04A0"/>
      </w:tblPr>
      <w:tblGrid>
        <w:gridCol w:w="595"/>
        <w:gridCol w:w="10365"/>
      </w:tblGrid>
      <w:tr w:rsidR="00F141A2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F141A2" w:rsidRDefault="00F141A2" w:rsidP="007A456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3" name="Рисунок 3" descr="Бизнес-Инф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Бизнес-Инф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F141A2" w:rsidRDefault="00F141A2" w:rsidP="007A456C">
            <w:pPr>
              <w:pStyle w:val="primsit"/>
              <w:spacing w:after="0"/>
            </w:pPr>
            <w:r>
              <w:t>От редакции «Бизнес-Инфо»</w:t>
            </w:r>
          </w:p>
          <w:p w:rsidR="00F141A2" w:rsidRDefault="00F141A2" w:rsidP="007A456C">
            <w:pPr>
              <w:pStyle w:val="a0-justify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 1 июля 2022 г. действует </w:t>
            </w:r>
            <w:hyperlink r:id="rId12" w:anchor="a2" w:tooltip="+" w:history="1">
              <w:r>
                <w:rPr>
                  <w:rStyle w:val="a3"/>
                  <w:sz w:val="22"/>
                  <w:szCs w:val="22"/>
                </w:rPr>
                <w:t>ТКП</w:t>
              </w:r>
            </w:hyperlink>
            <w:r>
              <w:rPr>
                <w:sz w:val="22"/>
                <w:szCs w:val="22"/>
              </w:rPr>
              <w:t xml:space="preserve"> «Электроустановки. Правила по обеспечению безопасности при эксплуатации», утв. постановлением Минэнерго от 09.03.2022 № 10.</w:t>
            </w:r>
          </w:p>
          <w:p w:rsidR="00F141A2" w:rsidRDefault="00F141A2" w:rsidP="007A456C">
            <w:pPr>
              <w:pStyle w:val="a0-justify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 20 декабря 2022 г. введен в действие </w:t>
            </w:r>
            <w:hyperlink r:id="rId13" w:anchor="a1" w:tooltip="+" w:history="1">
              <w:r>
                <w:rPr>
                  <w:rStyle w:val="a3"/>
                  <w:sz w:val="22"/>
                  <w:szCs w:val="22"/>
                </w:rPr>
                <w:t>ТКП</w:t>
              </w:r>
            </w:hyperlink>
            <w:r>
              <w:rPr>
                <w:sz w:val="22"/>
                <w:szCs w:val="22"/>
              </w:rPr>
              <w:t xml:space="preserve"> «Электроустановки на напряжение до 750 кВ. Линии электропередачи воздушные и токопроводы, устройства распределительные и трансформаторные подстанции, установки электросиловые и аккумуляторные, электроустановки жилых и общественных зданий. Правила устройства и защитные меры электробезопасности. Учет электроэнергии. Нормы приемо-сдаточных испытаний», утв. постановлением Минэнерго от 18.10.2022 № 30.</w:t>
            </w:r>
          </w:p>
        </w:tc>
      </w:tr>
    </w:tbl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Норма: пп.</w:t>
      </w:r>
      <w:hyperlink r:id="rId14" w:anchor="a205" w:tooltip="+" w:history="1">
        <w:r>
          <w:rPr>
            <w:rStyle w:val="a3"/>
            <w:lang w:val="ru-RU"/>
          </w:rPr>
          <w:t>4.2.30</w:t>
        </w:r>
      </w:hyperlink>
      <w:r>
        <w:rPr>
          <w:lang w:val="ru-RU"/>
        </w:rPr>
        <w:t xml:space="preserve">, </w:t>
      </w:r>
      <w:hyperlink r:id="rId15" w:anchor="a361" w:tooltip="+" w:history="1">
        <w:r>
          <w:rPr>
            <w:rStyle w:val="a3"/>
            <w:lang w:val="ru-RU"/>
          </w:rPr>
          <w:t>4.2.33</w:t>
        </w:r>
      </w:hyperlink>
      <w:r>
        <w:rPr>
          <w:lang w:val="ru-RU"/>
        </w:rPr>
        <w:t xml:space="preserve">, </w:t>
      </w:r>
      <w:hyperlink r:id="rId16" w:anchor="a206" w:tooltip="+" w:history="1">
        <w:r>
          <w:rPr>
            <w:rStyle w:val="a3"/>
            <w:lang w:val="ru-RU"/>
          </w:rPr>
          <w:t>4.2.38</w:t>
        </w:r>
      </w:hyperlink>
      <w:r>
        <w:rPr>
          <w:lang w:val="ru-RU"/>
        </w:rPr>
        <w:t xml:space="preserve"> ТКП 181-2009.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6. Перечень должностей служащих (профессий рабочих), освобождаемых от первичного инструктажа на рабочем месте и повторного инструктажа по охране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17" w:anchor="a268" w:tooltip="+" w:history="1">
        <w:r>
          <w:rPr>
            <w:rStyle w:val="a3"/>
            <w:lang w:val="ru-RU"/>
          </w:rPr>
          <w:t>п.26</w:t>
        </w:r>
      </w:hyperlink>
      <w:r>
        <w:rPr>
          <w:lang w:val="ru-RU"/>
        </w:rPr>
        <w:t xml:space="preserve"> Инструкции № 175.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7. Перечень инструкций по охране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18" w:anchor="a92" w:tooltip="+" w:history="1">
        <w:r>
          <w:rPr>
            <w:rStyle w:val="a3"/>
            <w:lang w:val="ru-RU"/>
          </w:rPr>
          <w:t>п.11</w:t>
        </w:r>
      </w:hyperlink>
      <w:r>
        <w:rPr>
          <w:lang w:val="ru-RU"/>
        </w:rPr>
        <w:t xml:space="preserve"> Инструкции о порядке разработки и принятия работодателями локальных правовых актов, содержащих требования по охране труда, в виде инструкций по охране труда для профессий рабочих и (или) отдельных видов работ (услуг), утв. постановлением Минтруда и соцзащиты от 28.11.2008 № 176.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8. Перечень работ с повышенной опасностью.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19" w:anchor="a55" w:tooltip="+" w:history="1">
        <w:r>
          <w:rPr>
            <w:rStyle w:val="a3"/>
            <w:lang w:val="ru-RU"/>
          </w:rPr>
          <w:t>п.92</w:t>
        </w:r>
      </w:hyperlink>
      <w:r>
        <w:rPr>
          <w:lang w:val="ru-RU"/>
        </w:rPr>
        <w:t xml:space="preserve"> Правил по охране труда, утв. постановлением Минтруда и соцзащиты от 01.07.2021 № 53.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9. Перечень работ с повышенной опасностью, выполняемых по наряду-допуску.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20" w:anchor="a17" w:tooltip="+" w:history="1">
        <w:r>
          <w:rPr>
            <w:rStyle w:val="a3"/>
            <w:lang w:val="ru-RU"/>
          </w:rPr>
          <w:t>п.94</w:t>
        </w:r>
      </w:hyperlink>
      <w:r>
        <w:rPr>
          <w:lang w:val="ru-RU"/>
        </w:rPr>
        <w:t xml:space="preserve"> Правил № 53.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10. Перечень уполномоченных должностных лиц, имеющих право выдачи наряда-допуска.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21" w:anchor="a99" w:tooltip="+" w:history="1">
        <w:r>
          <w:rPr>
            <w:rStyle w:val="a3"/>
            <w:lang w:val="ru-RU"/>
          </w:rPr>
          <w:t>п.97</w:t>
        </w:r>
      </w:hyperlink>
      <w:r>
        <w:rPr>
          <w:lang w:val="ru-RU"/>
        </w:rPr>
        <w:t xml:space="preserve"> Правил № 53.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11. Перечень работ, к которым предъявляются специальные требования по охране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п.4.2.7 </w:t>
      </w:r>
      <w:hyperlink r:id="rId22" w:anchor="a2" w:tooltip="+ Документ утратил силу с 1 июля 2022 г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427-2012.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12. Перечень работ, выполняемых в действующих электроустановках по наряду-допуску (наряду).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п.4.4.1 </w:t>
      </w:r>
      <w:hyperlink r:id="rId23" w:anchor="a2" w:tooltip="+ Документ утратил силу с 1 июля 2022 г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427-2012.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13. Перечень работ, выполняемых в действующих электроустановках по распоряжению.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п.4.4.1 </w:t>
      </w:r>
      <w:hyperlink r:id="rId24" w:anchor="a2" w:tooltip="+ Документ утратил силу с 1 июля 2022 г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427-2012.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14. Перечень работ, выполняемых в действующих электроустановках в порядке текущей эксплуатации.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lastRenderedPageBreak/>
        <w:t xml:space="preserve">Норма: п.4.4.1 </w:t>
      </w:r>
      <w:hyperlink r:id="rId25" w:anchor="a2" w:tooltip="+ Документ утратил силу с 1 июля 2022 г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427-2012.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15. Перечень работ в электроустановках напряжением до 1 000 В, выполнение которых допускается под напряжением.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п.4.4.9 </w:t>
      </w:r>
      <w:hyperlink r:id="rId26" w:anchor="a2" w:tooltip="+ Документ утратил силу с 1 июля 2022 г.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427-2012.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16. Перечень работ, выполняемых по нарядам-допускам на теплоустановках и тепловых сетях.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п.5.1 </w:t>
      </w:r>
      <w:hyperlink r:id="rId27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459-2012 «Правила техники безопасности при эксплуатации теплоустановок и тепловых сетей потребителей», утв. постановлением № 66.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17. Перечень работ, выполняемых по распоряжению одним человеком на теплоустановках и тепловых сетях.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п.5.2 </w:t>
      </w:r>
      <w:hyperlink r:id="rId28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459-2012.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18. Перечень теплоустановок, на которых должны проводиться энергетические испытания.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п.8.4 </w:t>
      </w:r>
      <w:hyperlink r:id="rId29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458-2012.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19. Перечень средств индивидуальной защиты, непосредственно обеспечивающих безопасность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30" w:anchor="a1" w:tooltip="+" w:history="1">
        <w:r>
          <w:rPr>
            <w:rStyle w:val="a3"/>
            <w:lang w:val="ru-RU"/>
          </w:rPr>
          <w:t>постановление</w:t>
        </w:r>
      </w:hyperlink>
      <w:r>
        <w:rPr>
          <w:lang w:val="ru-RU"/>
        </w:rPr>
        <w:t xml:space="preserve"> Минтруда и соцзащиты от 15.10.2010 № 145 «Об установлении перечня средств индивидуальной защиты, непосредственно обеспечивающих безопасность труда, и о признании утратившим силу постановления Министерства труда Республики Беларусь от 19 апреля 2000 г. № 65».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20. Перечень профессий и должностей работников, которым предусматривается выдача средств индивидуальной защиты сверх установленных норм.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31" w:anchor="a310" w:tooltip="+" w:history="1">
        <w:r>
          <w:rPr>
            <w:rStyle w:val="a3"/>
            <w:lang w:val="ru-RU"/>
          </w:rPr>
          <w:t>ст.28</w:t>
        </w:r>
      </w:hyperlink>
      <w:r>
        <w:rPr>
          <w:lang w:val="ru-RU"/>
        </w:rPr>
        <w:t xml:space="preserve"> Закона от 23.06.2008 № 356-З «Об охране труда».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21. Перечни профессий и должностей работников, которые обеспечиваются смывающими и обезвреживающими средствами.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32" w:anchor="a5" w:tooltip="+" w:history="1">
        <w:r>
          <w:rPr>
            <w:rStyle w:val="a3"/>
            <w:lang w:val="ru-RU"/>
          </w:rPr>
          <w:t>подп.1.4</w:t>
        </w:r>
      </w:hyperlink>
      <w:r>
        <w:rPr>
          <w:lang w:val="ru-RU"/>
        </w:rPr>
        <w:t xml:space="preserve"> п.1 постановления Минтруда и соцзащиты от 30.12.2008 № 208 «О нормах и порядке обеспечения работников смывающими и обезвреживающими средствами».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22. Перечень профессий и категорий работников, имеющих право на бесплатное обеспечение молоком или равноценными пищевыми продуктами, составляемый на основании перечня вредных веществ, при работе с которыми в профилактических целях показано употребление молока или равноценных пищевых продуктов.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33" w:anchor="a2092" w:tooltip="+" w:history="1">
        <w:r>
          <w:rPr>
            <w:rStyle w:val="a3"/>
            <w:lang w:val="ru-RU"/>
          </w:rPr>
          <w:t>ст.225</w:t>
        </w:r>
      </w:hyperlink>
      <w:r>
        <w:rPr>
          <w:lang w:val="ru-RU"/>
        </w:rPr>
        <w:t xml:space="preserve"> ТК;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34" w:anchor="a32" w:tooltip="+ В пункт внесены изменения." w:history="1">
        <w:r>
          <w:rPr>
            <w:rStyle w:val="a3"/>
            <w:lang w:val="ru-RU"/>
          </w:rPr>
          <w:t>п.5</w:t>
        </w:r>
      </w:hyperlink>
      <w:r>
        <w:rPr>
          <w:lang w:val="ru-RU"/>
        </w:rPr>
        <w:t xml:space="preserve"> Правил бесплатного обеспечения работников молоком или равноценными пищевыми продуктами при работе с вредными веществами, утв. постановлением Совмина от 27.02.2002 № 260.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> </w:t>
      </w:r>
    </w:p>
    <w:tbl>
      <w:tblPr>
        <w:tblW w:w="5000" w:type="pct"/>
        <w:tblCellMar>
          <w:left w:w="80" w:type="dxa"/>
          <w:right w:w="80" w:type="dxa"/>
        </w:tblCellMar>
        <w:tblLook w:val="04A0"/>
      </w:tblPr>
      <w:tblGrid>
        <w:gridCol w:w="595"/>
        <w:gridCol w:w="10365"/>
      </w:tblGrid>
      <w:tr w:rsidR="00F141A2">
        <w:trPr>
          <w:divId w:val="823861764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F141A2" w:rsidRDefault="00F141A2" w:rsidP="007A456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4" name="Рисунок 4" descr="Бизнес-Инф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изнес-Инф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hideMark/>
          </w:tcPr>
          <w:p w:rsidR="00F141A2" w:rsidRDefault="00F141A2" w:rsidP="007A456C">
            <w:pPr>
              <w:pStyle w:val="primsit"/>
              <w:spacing w:after="0"/>
            </w:pPr>
            <w:r>
              <w:t>От редакции «Бизнес-Инфо»</w:t>
            </w:r>
          </w:p>
          <w:p w:rsidR="00F141A2" w:rsidRDefault="00F141A2" w:rsidP="007A456C">
            <w:pPr>
              <w:pStyle w:val="a0-justify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 7 мая 2022 г. следует руководствоваться </w:t>
            </w:r>
            <w:hyperlink r:id="rId35" w:anchor="a50" w:tooltip="+" w:history="1">
              <w:r>
                <w:rPr>
                  <w:rStyle w:val="a3"/>
                  <w:sz w:val="22"/>
                  <w:szCs w:val="22"/>
                </w:rPr>
                <w:t>п.5</w:t>
              </w:r>
            </w:hyperlink>
            <w:r>
              <w:rPr>
                <w:sz w:val="22"/>
                <w:szCs w:val="22"/>
              </w:rPr>
              <w:t xml:space="preserve"> Правил № 260 в ред. постановления Совмина от 04.04.2022 № 205: «Перечень профессий рабочих и должностей служащих, занятых в производствах, цехах, участках, иных структурных подразделениях, на работах, дающих право на обеспечение молоком (далее - перечень организации), определяется коллективным договором, а в случае его отсутствия утверждается нанимателем или уполномоченным должностным лицом нанимателя по согласованию с профсоюзом (при его наличии)». Комментарий см. </w:t>
            </w:r>
            <w:hyperlink r:id="rId36" w:anchor="a1" w:tooltip="+" w:history="1">
              <w:r>
                <w:rPr>
                  <w:rStyle w:val="a3"/>
                  <w:i/>
                  <w:iCs/>
                  <w:sz w:val="22"/>
                  <w:szCs w:val="22"/>
                </w:rPr>
                <w:t>здесь</w:t>
              </w:r>
            </w:hyperlink>
            <w:r>
              <w:rPr>
                <w:sz w:val="22"/>
                <w:szCs w:val="22"/>
              </w:rPr>
              <w:t>;</w:t>
            </w:r>
          </w:p>
        </w:tc>
      </w:tr>
    </w:tbl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> 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37" w:anchor="a20" w:tooltip="+" w:history="1">
        <w:r>
          <w:rPr>
            <w:rStyle w:val="a3"/>
            <w:lang w:val="ru-RU"/>
          </w:rPr>
          <w:t>перечень</w:t>
        </w:r>
      </w:hyperlink>
      <w:r>
        <w:rPr>
          <w:lang w:val="ru-RU"/>
        </w:rPr>
        <w:t xml:space="preserve"> вредных веществ, при работе с которыми в профилактических целях показано употребление молока или равноценных пищевых продуктов, утв. постановлением Минтруда и соцзащиты и Минздравом от 19.03.2002 № 34/12.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lastRenderedPageBreak/>
        <w:t>23. Перечень производств, профессий, должностей и работ, занятость на которых дает право на бесплатное получение лечебно-профилактического питания в связи с вредными и (или) опасными условиями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38" w:anchor="a2092" w:tooltip="+" w:history="1">
        <w:r>
          <w:rPr>
            <w:rStyle w:val="a3"/>
            <w:lang w:val="ru-RU"/>
          </w:rPr>
          <w:t>ст.225</w:t>
        </w:r>
      </w:hyperlink>
      <w:r>
        <w:rPr>
          <w:lang w:val="ru-RU"/>
        </w:rPr>
        <w:t xml:space="preserve"> ТК;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39" w:anchor="a3" w:tooltip="+" w:history="1">
        <w:r>
          <w:rPr>
            <w:rStyle w:val="a3"/>
            <w:lang w:val="ru-RU"/>
          </w:rPr>
          <w:t>п.3</w:t>
        </w:r>
      </w:hyperlink>
      <w:r>
        <w:rPr>
          <w:lang w:val="ru-RU"/>
        </w:rPr>
        <w:t xml:space="preserve"> Положения о порядке предоставления и определения объемов компенсации в виде бесплатного обеспечения лечебно-профилактическим питанием работников, занятых на работах с вредными и (или) опасными условиями труда, утв. постановлением Совмина от 21.05.2014 № 491;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0" w:anchor="a4" w:tooltip="+" w:history="1">
        <w:r>
          <w:rPr>
            <w:rStyle w:val="a3"/>
            <w:lang w:val="ru-RU"/>
          </w:rPr>
          <w:t>перечень</w:t>
        </w:r>
      </w:hyperlink>
      <w:r>
        <w:rPr>
          <w:lang w:val="ru-RU"/>
        </w:rPr>
        <w:t xml:space="preserve"> производств, работ, профессий и должностей, дающих право на бесплатное получение лечебно-профилактического питания, и рационов лечебно-профилактического питания, выдаваемого бесплатно работникам, занятым на работах с вредными и (или) опасными условиями труда, утв. постановлением Минтруда и соцзащиты и Минздравом от 17.06.2014 № 51/41.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24. Перечень производственных помещений с нагревающим микроклиматом, работающие в которых обеспечиваются питьевой подсоленной или минеральной водой с содержанием соли от 0,1 до 0,5 %, соответствующей установленным гигиеническим нормативам, определяющим показатели ее безопасности.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1" w:anchor="a76" w:tooltip="+" w:history="1">
        <w:r>
          <w:rPr>
            <w:rStyle w:val="a3"/>
            <w:lang w:val="ru-RU"/>
          </w:rPr>
          <w:t>п.76</w:t>
        </w:r>
      </w:hyperlink>
      <w:r>
        <w:rPr>
          <w:lang w:val="ru-RU"/>
        </w:rPr>
        <w:t xml:space="preserve"> Правил № 53;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2" w:anchor="a13" w:tooltip="+" w:history="1">
        <w:r>
          <w:rPr>
            <w:rStyle w:val="a3"/>
            <w:lang w:val="ru-RU"/>
          </w:rPr>
          <w:t>п.74</w:t>
        </w:r>
      </w:hyperlink>
      <w:r>
        <w:rPr>
          <w:lang w:val="ru-RU"/>
        </w:rPr>
        <w:t xml:space="preserve"> Санитарных норм и правил «Требования к условиям труда работающих и содержанию производственных объектов», утв. постановлением Минздрава от 08.07.2016 № 85.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25. Перечень видов работ, профессий и должностей работников, которым по условиям труда устанавливаются дополнительные специальные оплачиваемые перерывы в течение рабочего дня, включаемые в рабочее время, их продолжительность, порядок предоставления.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3" w:anchor="a8514" w:tooltip="+" w:history="1">
        <w:r>
          <w:rPr>
            <w:rStyle w:val="a3"/>
            <w:lang w:val="ru-RU"/>
          </w:rPr>
          <w:t>ст.135</w:t>
        </w:r>
      </w:hyperlink>
      <w:r>
        <w:rPr>
          <w:lang w:val="ru-RU"/>
        </w:rPr>
        <w:t xml:space="preserve"> ТК;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>• ТНПА, устанавливающие право работников на оплачиваемые перерывы по условиям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26. Перечень должностей работников, которым предоставляется дополнительный отпуск за ненормированный рабочий день, продолжительность отпуска, условия предоставления.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4" w:anchor="a8410" w:tooltip="+" w:history="1">
        <w:r>
          <w:rPr>
            <w:rStyle w:val="a3"/>
            <w:lang w:val="ru-RU"/>
          </w:rPr>
          <w:t>ст.158</w:t>
        </w:r>
      </w:hyperlink>
      <w:r>
        <w:rPr>
          <w:lang w:val="ru-RU"/>
        </w:rPr>
        <w:t xml:space="preserve"> ТК;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5" w:anchor="a2" w:tooltip="+" w:history="1">
        <w:r>
          <w:rPr>
            <w:rStyle w:val="a3"/>
            <w:lang w:val="ru-RU"/>
          </w:rPr>
          <w:t>постановление</w:t>
        </w:r>
      </w:hyperlink>
      <w:r>
        <w:rPr>
          <w:lang w:val="ru-RU"/>
        </w:rPr>
        <w:t xml:space="preserve"> Совмина от 18.03.2008 № 408 «О предоставлении дополнительного отпуска за ненормированный рабочий день».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27. Перечень работ, на которых допускается разделение рабочего дня на части.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46" w:anchor="a2591" w:tooltip="+" w:history="1">
        <w:r>
          <w:rPr>
            <w:rStyle w:val="a3"/>
            <w:lang w:val="ru-RU"/>
          </w:rPr>
          <w:t>ст.127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28. Перечень рабочих мест по профессиям рабочих и должностям служащих, на которых работающим по результатам аттестации подтверждены особые условия труда, соответствующие требованиям </w:t>
      </w:r>
      <w:hyperlink r:id="rId47" w:anchor="a23" w:tooltip="+" w:history="1">
        <w:r>
          <w:rPr>
            <w:rStyle w:val="a3"/>
            <w:lang w:val="ru-RU"/>
          </w:rPr>
          <w:t>Списка</w:t>
        </w:r>
      </w:hyperlink>
      <w:r>
        <w:rPr>
          <w:lang w:val="ru-RU"/>
        </w:rPr>
        <w:t xml:space="preserve"> производств, работ, профессий, должностей и показателей на подземных работах, на работах с особо вредными и особо тяжелыми условиями труда, занятость в которых дает право на пенсию по возрасту за работу с особыми условиями труда, Списка производств, работ, профессий, должностей и показателей на работах с вредными и тяжелыми условиями труда, занятость в которых дает право на пенсию по возрасту за работу с особыми условиями труда, утв. постановлением Совмина от 25.05.2005 № 536, и влекущие обязанности нанимателя по профессиональному пенсионному страхованию работников.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48" w:anchor="a99" w:tooltip="+" w:history="1">
        <w:r>
          <w:rPr>
            <w:rStyle w:val="a3"/>
            <w:lang w:val="ru-RU"/>
          </w:rPr>
          <w:t>подп.12.1</w:t>
        </w:r>
      </w:hyperlink>
      <w:r>
        <w:rPr>
          <w:lang w:val="ru-RU"/>
        </w:rPr>
        <w:t xml:space="preserve"> п.12 Положения о порядке проведения аттестации рабочих мест по условиям труда, утв. постановлением Совмина от 22.02.2008 № 253;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lastRenderedPageBreak/>
        <w:t xml:space="preserve">• </w:t>
      </w:r>
      <w:hyperlink r:id="rId49" w:anchor="a347" w:tooltip="+" w:history="1">
        <w:r>
          <w:rPr>
            <w:rStyle w:val="a3"/>
            <w:lang w:val="ru-RU"/>
          </w:rPr>
          <w:t>подп.100.1</w:t>
        </w:r>
      </w:hyperlink>
      <w:r>
        <w:rPr>
          <w:lang w:val="ru-RU"/>
        </w:rPr>
        <w:t xml:space="preserve"> п.100 Инструкции по оценке условий труда при аттестации рабочих мест по условиям труда и предоставлению компенсаций по ее результатам, утв. постановлением Минтруда и соцзащиты от 22.02.2008 № 35.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29. Перечень рабочих мест работниц текстильных профессий, на которых по результатам аттестации подтверждены условия труда, соответствующие требованиям </w:t>
      </w:r>
      <w:hyperlink r:id="rId50" w:anchor="a1" w:tooltip="+" w:history="1">
        <w:r>
          <w:rPr>
            <w:rStyle w:val="a3"/>
            <w:lang w:val="ru-RU"/>
          </w:rPr>
          <w:t>перечня</w:t>
        </w:r>
      </w:hyperlink>
      <w:r>
        <w:rPr>
          <w:lang w:val="ru-RU"/>
        </w:rPr>
        <w:t xml:space="preserve"> текстильных производств и влекущие обязанности нанимателя по профессиональному пенсионному страхованию работников согласно постановлению Совмина от 09.10.2008 № 1490 «О вопросах профессионального пенсионного страхования».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1" w:anchor="a131" w:tooltip="+" w:history="1">
        <w:r>
          <w:rPr>
            <w:rStyle w:val="a3"/>
            <w:lang w:val="ru-RU"/>
          </w:rPr>
          <w:t>подп.12.2</w:t>
        </w:r>
      </w:hyperlink>
      <w:r>
        <w:rPr>
          <w:lang w:val="ru-RU"/>
        </w:rPr>
        <w:t xml:space="preserve"> п.12 Положения № 253;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2" w:anchor="a446" w:tooltip="+" w:history="1">
        <w:r>
          <w:rPr>
            <w:rStyle w:val="a3"/>
            <w:lang w:val="ru-RU"/>
          </w:rPr>
          <w:t>подп.100.1</w:t>
        </w:r>
        <w:r>
          <w:rPr>
            <w:rStyle w:val="a3"/>
            <w:vertAlign w:val="superscript"/>
            <w:lang w:val="ru-RU"/>
          </w:rPr>
          <w:t>1</w:t>
        </w:r>
      </w:hyperlink>
      <w:r>
        <w:rPr>
          <w:lang w:val="ru-RU"/>
        </w:rPr>
        <w:t xml:space="preserve"> п.100 Инструкции № 35.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30. Перечень рабочих мест медицинских работников, на которых по результатам аттестации подтверждены условия труда, соответствующие требованиям </w:t>
      </w:r>
      <w:hyperlink r:id="rId53" w:anchor="a135" w:tooltip="+" w:history="1">
        <w:r>
          <w:rPr>
            <w:rStyle w:val="a3"/>
            <w:lang w:val="ru-RU"/>
          </w:rPr>
          <w:t>раздела I</w:t>
        </w:r>
      </w:hyperlink>
      <w:r>
        <w:rPr>
          <w:lang w:val="ru-RU"/>
        </w:rPr>
        <w:t xml:space="preserve"> перечня учреждений, организаций и должностей для целей профессионального пенсионного страхования медицинских и педагогических работников, утв. постановлением Совмина от 09.10.2008 № 1490, и влекущие обязанности нанимателя по профессиональному пенсионному страхованию работников.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54" w:anchor="a102" w:tooltip="+" w:history="1">
        <w:r>
          <w:rPr>
            <w:rStyle w:val="a3"/>
            <w:lang w:val="ru-RU"/>
          </w:rPr>
          <w:t>подп.12.3</w:t>
        </w:r>
      </w:hyperlink>
      <w:r>
        <w:rPr>
          <w:lang w:val="ru-RU"/>
        </w:rPr>
        <w:t xml:space="preserve"> п.12 Положения № 253.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31. Перечень рабочих мест по профессиям и должностям, на которых работающим по результатам аттестации подтверждено право на дополнительный отпуск за работу с вредными и (или) опасными условиями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5" w:anchor="a6906" w:tooltip="+" w:history="1">
        <w:r>
          <w:rPr>
            <w:rStyle w:val="a3"/>
            <w:lang w:val="ru-RU"/>
          </w:rPr>
          <w:t>ст.157</w:t>
        </w:r>
      </w:hyperlink>
      <w:r>
        <w:rPr>
          <w:lang w:val="ru-RU"/>
        </w:rPr>
        <w:t xml:space="preserve"> ТК;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6" w:anchor="a132" w:tooltip="+" w:history="1">
        <w:r>
          <w:rPr>
            <w:rStyle w:val="a3"/>
            <w:lang w:val="ru-RU"/>
          </w:rPr>
          <w:t>подп.12.5</w:t>
        </w:r>
      </w:hyperlink>
      <w:r>
        <w:rPr>
          <w:lang w:val="ru-RU"/>
        </w:rPr>
        <w:t xml:space="preserve"> п.12 Положения № 253;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7" w:anchor="a447" w:tooltip="+" w:history="1">
        <w:r>
          <w:rPr>
            <w:rStyle w:val="a3"/>
            <w:lang w:val="ru-RU"/>
          </w:rPr>
          <w:t>подп.100.2</w:t>
        </w:r>
      </w:hyperlink>
      <w:r>
        <w:rPr>
          <w:lang w:val="ru-RU"/>
        </w:rPr>
        <w:t xml:space="preserve"> п.100 Инструкции № 35;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8" w:anchor="a13" w:tooltip="+" w:history="1">
        <w:r>
          <w:rPr>
            <w:rStyle w:val="a3"/>
            <w:lang w:val="ru-RU"/>
          </w:rPr>
          <w:t>постановление</w:t>
        </w:r>
      </w:hyperlink>
      <w:r>
        <w:rPr>
          <w:lang w:val="ru-RU"/>
        </w:rPr>
        <w:t xml:space="preserve"> Совмина от 19.01.2008 № 73 «О дополнительных отпусках за работу с вредными и (или) опасными условиями труда и особый характер работы».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32. Перечень рабочих мест по профессиям и должностям, на которых работающим по результатам аттестации подтверждены вредные и (или) опасные условия труда, соответствующие требованиям списка производств, цехов, профессий и должностей с вредными и (или) опасными условиями труда, работа в которых дает право на сокращенную продолжительность рабочего времени.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Норма: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59" w:anchor="a6924" w:tooltip="+" w:history="1">
        <w:r>
          <w:rPr>
            <w:rStyle w:val="a3"/>
            <w:lang w:val="ru-RU"/>
          </w:rPr>
          <w:t>ст.113</w:t>
        </w:r>
      </w:hyperlink>
      <w:r>
        <w:rPr>
          <w:lang w:val="ru-RU"/>
        </w:rPr>
        <w:t xml:space="preserve"> ТК;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60" w:anchor="a133" w:tooltip="+" w:history="1">
        <w:r>
          <w:rPr>
            <w:rStyle w:val="a3"/>
            <w:lang w:val="ru-RU"/>
          </w:rPr>
          <w:t>подп.12.4</w:t>
        </w:r>
      </w:hyperlink>
      <w:r>
        <w:rPr>
          <w:lang w:val="ru-RU"/>
        </w:rPr>
        <w:t xml:space="preserve"> п.12 Положения № 253;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61" w:anchor="a448" w:tooltip="+" w:history="1">
        <w:r>
          <w:rPr>
            <w:rStyle w:val="a3"/>
            <w:lang w:val="ru-RU"/>
          </w:rPr>
          <w:t>подп.100.3</w:t>
        </w:r>
      </w:hyperlink>
      <w:r>
        <w:rPr>
          <w:lang w:val="ru-RU"/>
        </w:rPr>
        <w:t xml:space="preserve"> п.100 Инструкции № 35;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62" w:anchor="a32" w:tooltip="+" w:history="1">
        <w:r>
          <w:rPr>
            <w:rStyle w:val="a3"/>
            <w:lang w:val="ru-RU"/>
          </w:rPr>
          <w:t>список</w:t>
        </w:r>
      </w:hyperlink>
      <w:r>
        <w:rPr>
          <w:lang w:val="ru-RU"/>
        </w:rPr>
        <w:t xml:space="preserve"> производств, цехов, профессий и должностей с вредными и (или) опасными условиями труда, работа в которых дает право на сокращенную продолжительность рабочего времени, уст. постановлением Минтруда и соцзащиты от 07.07.2014 № 57.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33. Перечень рабочих мест по профессиям и должностям, на которых работающим по результатам аттестации подтверждено право на доплаты за работу с вредными и (или) опасными условиями труда.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63" w:anchor="a134" w:tooltip="+" w:history="1">
        <w:r>
          <w:rPr>
            <w:rStyle w:val="a3"/>
            <w:lang w:val="ru-RU"/>
          </w:rPr>
          <w:t>подп.12.6</w:t>
        </w:r>
      </w:hyperlink>
      <w:r>
        <w:rPr>
          <w:lang w:val="ru-RU"/>
        </w:rPr>
        <w:t xml:space="preserve"> п.12 Положения № 253;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64" w:anchor="a449" w:tooltip="+" w:history="1">
        <w:r>
          <w:rPr>
            <w:rStyle w:val="a3"/>
            <w:lang w:val="ru-RU"/>
          </w:rPr>
          <w:t>подп.100.4</w:t>
        </w:r>
      </w:hyperlink>
      <w:r>
        <w:rPr>
          <w:lang w:val="ru-RU"/>
        </w:rPr>
        <w:t xml:space="preserve"> п.100 Инструкции № 35;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65" w:anchor="a2" w:tooltip="+" w:history="1">
        <w:r>
          <w:rPr>
            <w:rStyle w:val="a3"/>
            <w:lang w:val="ru-RU"/>
          </w:rPr>
          <w:t>постановление</w:t>
        </w:r>
      </w:hyperlink>
      <w:r>
        <w:rPr>
          <w:lang w:val="ru-RU"/>
        </w:rPr>
        <w:t xml:space="preserve"> Совмина от 14.06.2014 № 575 «О некоторых вопросах предоставления компенсаций по условиям труда».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34. Перечень рабочих мест по профессиям рабочих и должностям служащих, на которых по результатам аттестации не подтверждены условия труда, дающие право на сокращенную продолжительность рабочего времени за работу с вредными и (или) опасными условиями труда, дополнительный отпуск за работу с вредными и (или) опасными условиями труда, оплату труда в повышенном размере путем установления доплат за работу с вредными и (или) </w:t>
      </w:r>
      <w:r>
        <w:rPr>
          <w:lang w:val="ru-RU"/>
        </w:rPr>
        <w:lastRenderedPageBreak/>
        <w:t>опасными условиями труда, а также влекущие обязанности нанимателя по профессиональному пенсионному страхованию работников.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66" w:anchor="a103" w:tooltip="+" w:history="1">
        <w:r>
          <w:rPr>
            <w:rStyle w:val="a3"/>
            <w:lang w:val="ru-RU"/>
          </w:rPr>
          <w:t>подп.12.7</w:t>
        </w:r>
      </w:hyperlink>
      <w:r>
        <w:rPr>
          <w:lang w:val="ru-RU"/>
        </w:rPr>
        <w:t xml:space="preserve"> п.12 Положения № 253.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35. Перечень категорий работников лесной промышленности и лесного хозяйства, для которых применяются особенности регулирования трудовой деятельности.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67" w:anchor="a1447" w:tooltip="+" w:history="1">
        <w:r>
          <w:rPr>
            <w:rStyle w:val="a3"/>
            <w:lang w:val="ru-RU"/>
          </w:rPr>
          <w:t>ст.315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36. Перечень категорий работников, которым устанавливается неполный рабочий день или неполная рабочая неделя.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68" w:anchor="a2578" w:tooltip="+" w:history="1">
        <w:r>
          <w:rPr>
            <w:rStyle w:val="a3"/>
            <w:lang w:val="ru-RU"/>
          </w:rPr>
          <w:t>ст.289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37. Перечень обстоятельств, при наличии которых допускается отзыв из отпуска.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69" w:anchor="a1361" w:tooltip="+" w:history="1">
        <w:r>
          <w:rPr>
            <w:rStyle w:val="a3"/>
            <w:lang w:val="ru-RU"/>
          </w:rPr>
          <w:t>ст.174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38. Перечень дополнительных мер, компенсирующих вредное влияние на работающих производственных факторов, для возмещения вреда, причиненного жизни или здоровью работника.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0" w:anchor="a2092" w:tooltip="+" w:history="1">
        <w:r>
          <w:rPr>
            <w:rStyle w:val="a3"/>
            <w:lang w:val="ru-RU"/>
          </w:rPr>
          <w:t>ст.225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39. Перечень дополнительных трудовых гарантий несовершеннолетним (лицам, не достигшим 18 лет).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1" w:anchor="a313" w:tooltip="+" w:history="1">
        <w:r>
          <w:rPr>
            <w:rStyle w:val="a3"/>
            <w:lang w:val="ru-RU"/>
          </w:rPr>
          <w:t>ст.273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40. Перечень исключительных случаев (кроме случаев, предусмотренных законодательством) привлечения к сверхурочным работам без согласия работников.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2" w:anchor="a2579" w:tooltip="+" w:history="1">
        <w:r>
          <w:rPr>
            <w:rStyle w:val="a3"/>
            <w:lang w:val="ru-RU"/>
          </w:rPr>
          <w:t>ст.120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41. Перечень работ, порядок и место приема пищи работниками, занятыми на работах, где по условиям производства перерыв нельзя установить перерыв для отдыха и питания.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3" w:anchor="a6993" w:tooltip="+" w:history="1">
        <w:r>
          <w:rPr>
            <w:rStyle w:val="a3"/>
            <w:lang w:val="ru-RU"/>
          </w:rPr>
          <w:t>ст.134</w:t>
        </w:r>
      </w:hyperlink>
      <w:r>
        <w:rPr>
          <w:lang w:val="ru-RU"/>
        </w:rPr>
        <w:t xml:space="preserve"> ТК.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42. Перечень лиц, отнесенных к категории «персонал» при работе с источниками ионизирующих излучений.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Нормы: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74" w:anchor="a69" w:tooltip="+" w:history="1">
        <w:r>
          <w:rPr>
            <w:rStyle w:val="a3"/>
            <w:lang w:val="ru-RU"/>
          </w:rPr>
          <w:t>п.34</w:t>
        </w:r>
      </w:hyperlink>
      <w:r>
        <w:rPr>
          <w:lang w:val="ru-RU"/>
        </w:rPr>
        <w:t xml:space="preserve"> Санитарных норм и правил «Требования к обеспечению радиационной безопасности персонала и населения при осуществлении деятельности по использованию атомной энергии и источников ионизирующего излучения», утв. постановлением Минздрава от 31.12.2013 № 137;</w:t>
      </w:r>
    </w:p>
    <w:p w:rsidR="00F141A2" w:rsidRDefault="00F141A2" w:rsidP="007A456C">
      <w:pPr>
        <w:pStyle w:val="listtext1"/>
        <w:spacing w:after="0"/>
        <w:rPr>
          <w:lang w:val="ru-RU"/>
        </w:rPr>
      </w:pPr>
      <w:r>
        <w:rPr>
          <w:lang w:val="ru-RU"/>
        </w:rPr>
        <w:t xml:space="preserve">• </w:t>
      </w:r>
      <w:hyperlink r:id="rId75" w:anchor="a52" w:tooltip="+" w:history="1">
        <w:r>
          <w:rPr>
            <w:rStyle w:val="a3"/>
            <w:lang w:val="ru-RU"/>
          </w:rPr>
          <w:t>п.73</w:t>
        </w:r>
      </w:hyperlink>
      <w:r>
        <w:rPr>
          <w:lang w:val="ru-RU"/>
        </w:rPr>
        <w:t xml:space="preserve"> Норм и правил по обеспечению ядерной и радиационной безопасности «Безопасность при обращении с источниками ионизирующего излучения. Общие положения», утв. постановлением МЧС от 19.10.2020 № 42.</w:t>
      </w:r>
    </w:p>
    <w:p w:rsidR="00F141A2" w:rsidRDefault="00F141A2" w:rsidP="007A456C">
      <w:pPr>
        <w:pStyle w:val="2"/>
        <w:spacing w:after="0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Списки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1. Список профессий (должностей) работников, подлежащих периодическим медицинским осмотрам.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6" w:anchor="a163" w:tooltip="+" w:history="1">
        <w:r>
          <w:rPr>
            <w:rStyle w:val="a3"/>
            <w:lang w:val="ru-RU"/>
          </w:rPr>
          <w:t>подп.8.1</w:t>
        </w:r>
      </w:hyperlink>
      <w:r>
        <w:rPr>
          <w:lang w:val="ru-RU"/>
        </w:rPr>
        <w:t xml:space="preserve"> п.8 и </w:t>
      </w:r>
      <w:hyperlink r:id="rId77" w:anchor="a215" w:tooltip="+" w:history="1">
        <w:r>
          <w:rPr>
            <w:rStyle w:val="a3"/>
            <w:lang w:val="ru-RU"/>
          </w:rPr>
          <w:t>приложение 6</w:t>
        </w:r>
      </w:hyperlink>
      <w:r>
        <w:rPr>
          <w:lang w:val="ru-RU"/>
        </w:rPr>
        <w:t xml:space="preserve"> к Инструкции о порядке проведения обязательных и внеочередных медицинских осмотров работающих, утв. постановлением Минздрава от 29.07.2019 № 74.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2. Список работников, подлежащих периодическому медицинскому осмотру.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</w:t>
      </w:r>
      <w:hyperlink r:id="rId78" w:anchor="a132" w:tooltip="+" w:history="1">
        <w:r>
          <w:rPr>
            <w:rStyle w:val="a3"/>
            <w:lang w:val="ru-RU"/>
          </w:rPr>
          <w:t>п.20</w:t>
        </w:r>
      </w:hyperlink>
      <w:r>
        <w:rPr>
          <w:lang w:val="ru-RU"/>
        </w:rPr>
        <w:t xml:space="preserve"> и </w:t>
      </w:r>
      <w:hyperlink r:id="rId79" w:anchor="a215" w:tooltip="+" w:history="1">
        <w:r>
          <w:rPr>
            <w:rStyle w:val="a3"/>
            <w:lang w:val="ru-RU"/>
          </w:rPr>
          <w:t>приложение 6</w:t>
        </w:r>
      </w:hyperlink>
      <w:r>
        <w:rPr>
          <w:lang w:val="ru-RU"/>
        </w:rPr>
        <w:t xml:space="preserve"> к Инструкции № 74.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3. Списки лиц, имеющих право выдачи нарядов-допусков на выполнение работ на теплоустановках и тепловых сетях.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п.5.5 </w:t>
      </w:r>
      <w:hyperlink r:id="rId80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459-2012.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4. Списки лиц, имеющих право отдавать распоряжение на выполнение работ на теплоустановках и тепловых сетях.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п.5.5 </w:t>
      </w:r>
      <w:hyperlink r:id="rId81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459-2012.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lastRenderedPageBreak/>
        <w:t>5. Списки лиц, которые могут быть руководителями и производителями работ на теплоустановках и тепловых сетях по нарядам-допускам и распоряжениям.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п.5.7 </w:t>
      </w:r>
      <w:hyperlink r:id="rId82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459-2012.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6. Список лиц из числа оперативного персонала, которые могут быть назначены допускающими к выполнению работ на теплоустановках и тепловых сетях.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 xml:space="preserve">Норма: п.5.8 </w:t>
      </w:r>
      <w:hyperlink r:id="rId83" w:anchor="a2" w:tooltip="+" w:history="1">
        <w:r>
          <w:rPr>
            <w:rStyle w:val="a3"/>
            <w:lang w:val="ru-RU"/>
          </w:rPr>
          <w:t>ТКП</w:t>
        </w:r>
      </w:hyperlink>
      <w:r>
        <w:rPr>
          <w:lang w:val="ru-RU"/>
        </w:rPr>
        <w:t> 459-2012.</w:t>
      </w:r>
    </w:p>
    <w:p w:rsidR="00F141A2" w:rsidRDefault="00F141A2" w:rsidP="007A456C">
      <w:pPr>
        <w:pStyle w:val="justify"/>
        <w:spacing w:after="0"/>
        <w:rPr>
          <w:lang w:val="ru-RU"/>
        </w:rPr>
      </w:pPr>
      <w:r>
        <w:rPr>
          <w:lang w:val="ru-RU"/>
        </w:rPr>
        <w:t> </w:t>
      </w:r>
    </w:p>
    <w:tbl>
      <w:tblPr>
        <w:tblW w:w="5000" w:type="pct"/>
        <w:tblCellMar>
          <w:left w:w="80" w:type="dxa"/>
          <w:right w:w="80" w:type="dxa"/>
        </w:tblCellMar>
        <w:tblLook w:val="04A0"/>
      </w:tblPr>
      <w:tblGrid>
        <w:gridCol w:w="595"/>
        <w:gridCol w:w="10365"/>
      </w:tblGrid>
      <w:tr w:rsidR="00F141A2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F141A2" w:rsidRDefault="00F141A2" w:rsidP="007A456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</w:rPr>
              <w:drawing>
                <wp:inline distT="0" distB="0" distL="0" distR="0">
                  <wp:extent cx="228600" cy="228600"/>
                  <wp:effectExtent l="19050" t="0" r="0" b="0"/>
                  <wp:docPr id="5" name="Рисунок 5" descr="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60" w:type="dxa"/>
              <w:left w:w="80" w:type="dxa"/>
              <w:bottom w:w="0" w:type="dxa"/>
              <w:right w:w="80" w:type="dxa"/>
            </w:tcMar>
            <w:hideMark/>
          </w:tcPr>
          <w:p w:rsidR="00F141A2" w:rsidRDefault="00F141A2" w:rsidP="007A456C">
            <w:pPr>
              <w:pStyle w:val="a0-justify"/>
              <w:spacing w:after="0"/>
            </w:pPr>
            <w:r>
              <w:rPr>
                <w:i/>
                <w:iCs/>
              </w:rPr>
              <w:t>Дополнительно по теме</w:t>
            </w:r>
          </w:p>
          <w:p w:rsidR="00F141A2" w:rsidRDefault="00F141A2" w:rsidP="007A456C">
            <w:pPr>
              <w:pStyle w:val="a0-justify"/>
              <w:spacing w:after="0"/>
            </w:pPr>
            <w:r>
              <w:t xml:space="preserve">• </w:t>
            </w:r>
            <w:hyperlink r:id="rId85" w:anchor="a1" w:tooltip="+" w:history="1">
              <w:r>
                <w:rPr>
                  <w:rStyle w:val="a3"/>
                </w:rPr>
                <w:t>Назначение</w:t>
              </w:r>
            </w:hyperlink>
            <w:r>
              <w:t xml:space="preserve"> ответственных лиц по охране труда: как документально оформить.</w:t>
            </w:r>
          </w:p>
        </w:tc>
      </w:tr>
    </w:tbl>
    <w:p w:rsidR="00F141A2" w:rsidRDefault="00F141A2" w:rsidP="007A456C">
      <w:pPr>
        <w:spacing w:after="0"/>
        <w:rPr>
          <w:rFonts w:eastAsia="Times New Roman"/>
        </w:rPr>
      </w:pPr>
    </w:p>
    <w:sectPr w:rsidR="00F141A2" w:rsidSect="00F141A2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141"/>
  <w:characterSpacingControl w:val="doNotCompress"/>
  <w:compat>
    <w:useFELayout/>
  </w:compat>
  <w:rsids>
    <w:rsidRoot w:val="00F141A2"/>
    <w:rsid w:val="007A456C"/>
    <w:rsid w:val="00F14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e-BY" w:eastAsia="be-B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41A2"/>
    <w:pPr>
      <w:spacing w:after="400" w:line="240" w:lineRule="auto"/>
      <w:jc w:val="center"/>
      <w:outlineLvl w:val="0"/>
    </w:pPr>
    <w:rPr>
      <w:rFonts w:ascii="Times New Roman" w:hAnsi="Times New Roman" w:cs="Times New Roman"/>
      <w:b/>
      <w:bCs/>
      <w:color w:val="000088"/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F141A2"/>
    <w:pPr>
      <w:spacing w:before="800" w:after="400" w:line="240" w:lineRule="auto"/>
      <w:jc w:val="center"/>
      <w:outlineLvl w:val="1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41A2"/>
    <w:rPr>
      <w:rFonts w:ascii="Times New Roman" w:hAnsi="Times New Roman" w:cs="Times New Roman"/>
      <w:b/>
      <w:bCs/>
      <w:color w:val="000088"/>
      <w:kern w:val="36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F141A2"/>
    <w:rPr>
      <w:rFonts w:ascii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F141A2"/>
    <w:rPr>
      <w:color w:val="0000FF"/>
      <w:u w:val="single"/>
    </w:rPr>
  </w:style>
  <w:style w:type="paragraph" w:customStyle="1" w:styleId="justify">
    <w:name w:val="justify"/>
    <w:basedOn w:val="a"/>
    <w:rsid w:val="00F141A2"/>
    <w:pPr>
      <w:spacing w:after="160" w:line="24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a00">
    <w:name w:val="a0"/>
    <w:basedOn w:val="a"/>
    <w:rsid w:val="00F141A2"/>
    <w:pPr>
      <w:spacing w:after="160" w:line="240" w:lineRule="auto"/>
    </w:pPr>
    <w:rPr>
      <w:rFonts w:ascii="Arial" w:hAnsi="Arial" w:cs="Arial"/>
      <w:sz w:val="24"/>
      <w:szCs w:val="24"/>
    </w:rPr>
  </w:style>
  <w:style w:type="paragraph" w:customStyle="1" w:styleId="a0nomarg">
    <w:name w:val="a0_nomarg"/>
    <w:basedOn w:val="a"/>
    <w:rsid w:val="00F141A2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0-justify">
    <w:name w:val="a0-justify"/>
    <w:basedOn w:val="a"/>
    <w:rsid w:val="00F141A2"/>
    <w:pPr>
      <w:spacing w:after="16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prikazorg">
    <w:name w:val="prikaz_org"/>
    <w:basedOn w:val="a"/>
    <w:rsid w:val="00F141A2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kaznazv">
    <w:name w:val="prikaz_nazv"/>
    <w:basedOn w:val="a"/>
    <w:rsid w:val="00F141A2"/>
    <w:pPr>
      <w:spacing w:after="0" w:line="240" w:lineRule="auto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primsit">
    <w:name w:val="prim_sit"/>
    <w:basedOn w:val="a"/>
    <w:rsid w:val="00F141A2"/>
    <w:pPr>
      <w:spacing w:before="160" w:after="160" w:line="240" w:lineRule="auto"/>
    </w:pPr>
    <w:rPr>
      <w:rFonts w:ascii="Arial" w:hAnsi="Arial" w:cs="Arial"/>
      <w:b/>
      <w:bCs/>
      <w:i/>
      <w:iCs/>
      <w:sz w:val="26"/>
      <w:szCs w:val="26"/>
    </w:rPr>
  </w:style>
  <w:style w:type="paragraph" w:customStyle="1" w:styleId="podstrochnikp">
    <w:name w:val="podstrochnik_p"/>
    <w:basedOn w:val="a"/>
    <w:rsid w:val="00F141A2"/>
    <w:pPr>
      <w:spacing w:after="0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listtext1">
    <w:name w:val="list_text_1"/>
    <w:basedOn w:val="a"/>
    <w:rsid w:val="00F141A2"/>
    <w:pPr>
      <w:spacing w:after="160" w:line="240" w:lineRule="auto"/>
      <w:ind w:left="1027"/>
      <w:jc w:val="both"/>
    </w:pPr>
    <w:rPr>
      <w:rFonts w:ascii="Arial" w:hAnsi="Arial" w:cs="Arial"/>
      <w:sz w:val="24"/>
      <w:szCs w:val="24"/>
    </w:rPr>
  </w:style>
  <w:style w:type="character" w:customStyle="1" w:styleId="prikazdocumenttype">
    <w:name w:val="prikaz_document_type"/>
    <w:basedOn w:val="a0"/>
    <w:rsid w:val="00F141A2"/>
    <w:rPr>
      <w:rFonts w:ascii="Times New Roman" w:hAnsi="Times New Roman" w:cs="Times New Roman" w:hint="default"/>
      <w:b/>
      <w:bCs/>
      <w:sz w:val="30"/>
      <w:szCs w:val="30"/>
    </w:rPr>
  </w:style>
  <w:style w:type="paragraph" w:customStyle="1" w:styleId="author-name1">
    <w:name w:val="author-name1"/>
    <w:basedOn w:val="a"/>
    <w:rsid w:val="00F141A2"/>
    <w:pPr>
      <w:spacing w:after="133" w:line="240" w:lineRule="auto"/>
      <w:ind w:left="2133" w:firstLine="567"/>
    </w:pPr>
    <w:rPr>
      <w:rFonts w:ascii="Arial" w:hAnsi="Arial" w:cs="Arial"/>
      <w:sz w:val="20"/>
      <w:szCs w:val="20"/>
    </w:rPr>
  </w:style>
  <w:style w:type="paragraph" w:customStyle="1" w:styleId="date1">
    <w:name w:val="date1"/>
    <w:basedOn w:val="a"/>
    <w:rsid w:val="00F141A2"/>
    <w:pPr>
      <w:spacing w:after="160" w:line="240" w:lineRule="auto"/>
      <w:ind w:right="267" w:firstLine="567"/>
      <w:jc w:val="right"/>
    </w:pPr>
    <w:rPr>
      <w:rFonts w:ascii="Arial" w:hAnsi="Arial" w:cs="Arial"/>
      <w:color w:val="666666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A4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5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488957">
      <w:marLeft w:val="0"/>
      <w:marRight w:val="0"/>
      <w:marTop w:val="0"/>
      <w:marBottom w:val="0"/>
      <w:divBdr>
        <w:top w:val="single" w:sz="12" w:space="5" w:color="999999"/>
        <w:left w:val="single" w:sz="12" w:space="5" w:color="999999"/>
        <w:bottom w:val="single" w:sz="12" w:space="5" w:color="999999"/>
        <w:right w:val="single" w:sz="12" w:space="5" w:color="999999"/>
      </w:divBdr>
    </w:div>
    <w:div w:id="823861764">
      <w:marLeft w:val="1027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8394">
      <w:marLeft w:val="0"/>
      <w:marRight w:val="0"/>
      <w:marTop w:val="0"/>
      <w:marBottom w:val="400"/>
      <w:divBdr>
        <w:top w:val="single" w:sz="48" w:space="10" w:color="FFFFFF"/>
        <w:left w:val="none" w:sz="0" w:space="0" w:color="auto"/>
        <w:bottom w:val="single" w:sz="48" w:space="20" w:color="FFFFFF"/>
        <w:right w:val="none" w:sz="0" w:space="0" w:color="auto"/>
      </w:divBdr>
    </w:div>
    <w:div w:id="2030982067">
      <w:marLeft w:val="0"/>
      <w:marRight w:val="0"/>
      <w:marTop w:val="0"/>
      <w:marBottom w:val="33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tx.dll?d=615924&amp;a=1" TargetMode="External"/><Relationship Id="rId18" Type="http://schemas.openxmlformats.org/officeDocument/2006/relationships/hyperlink" Target="tx.dll?d=150164&amp;a=92" TargetMode="External"/><Relationship Id="rId26" Type="http://schemas.openxmlformats.org/officeDocument/2006/relationships/hyperlink" Target="tx.dll?d=251359&amp;a=2" TargetMode="External"/><Relationship Id="rId39" Type="http://schemas.openxmlformats.org/officeDocument/2006/relationships/hyperlink" Target="tx.dll?d=281669&amp;a=3" TargetMode="External"/><Relationship Id="rId21" Type="http://schemas.openxmlformats.org/officeDocument/2006/relationships/hyperlink" Target="tx.dll?d=465339&amp;a=99" TargetMode="External"/><Relationship Id="rId34" Type="http://schemas.openxmlformats.org/officeDocument/2006/relationships/hyperlink" Target="tx.dll?d=44519&amp;a=32" TargetMode="External"/><Relationship Id="rId42" Type="http://schemas.openxmlformats.org/officeDocument/2006/relationships/hyperlink" Target="tx.dll?d=325416&amp;a=13" TargetMode="External"/><Relationship Id="rId47" Type="http://schemas.openxmlformats.org/officeDocument/2006/relationships/hyperlink" Target="tx.dll?d=78749&amp;a=23" TargetMode="External"/><Relationship Id="rId50" Type="http://schemas.openxmlformats.org/officeDocument/2006/relationships/hyperlink" Target="tx.dll?d=143191&amp;a=1" TargetMode="External"/><Relationship Id="rId55" Type="http://schemas.openxmlformats.org/officeDocument/2006/relationships/hyperlink" Target="tx.dll?d=33380&amp;a=6906" TargetMode="External"/><Relationship Id="rId63" Type="http://schemas.openxmlformats.org/officeDocument/2006/relationships/hyperlink" Target="tx.dll?d=116507&amp;a=134" TargetMode="External"/><Relationship Id="rId68" Type="http://schemas.openxmlformats.org/officeDocument/2006/relationships/hyperlink" Target="tx.dll?d=33380&amp;a=2578" TargetMode="External"/><Relationship Id="rId76" Type="http://schemas.openxmlformats.org/officeDocument/2006/relationships/hyperlink" Target="tx.dll?d=410620&amp;a=163" TargetMode="External"/><Relationship Id="rId84" Type="http://schemas.openxmlformats.org/officeDocument/2006/relationships/image" Target="media/image2.png"/><Relationship Id="rId7" Type="http://schemas.openxmlformats.org/officeDocument/2006/relationships/hyperlink" Target="tx.dll?d=149926&amp;a=206" TargetMode="External"/><Relationship Id="rId71" Type="http://schemas.openxmlformats.org/officeDocument/2006/relationships/hyperlink" Target="tx.dll?d=33380&amp;a=313" TargetMode="External"/><Relationship Id="rId2" Type="http://schemas.openxmlformats.org/officeDocument/2006/relationships/settings" Target="settings.xml"/><Relationship Id="rId16" Type="http://schemas.openxmlformats.org/officeDocument/2006/relationships/hyperlink" Target="tx.dll?d=460279&amp;a=206" TargetMode="External"/><Relationship Id="rId29" Type="http://schemas.openxmlformats.org/officeDocument/2006/relationships/hyperlink" Target="tx.dll?d=254572&amp;a=2" TargetMode="External"/><Relationship Id="rId11" Type="http://schemas.openxmlformats.org/officeDocument/2006/relationships/image" Target="media/image1.png"/><Relationship Id="rId24" Type="http://schemas.openxmlformats.org/officeDocument/2006/relationships/hyperlink" Target="tx.dll?d=251359&amp;a=2" TargetMode="External"/><Relationship Id="rId32" Type="http://schemas.openxmlformats.org/officeDocument/2006/relationships/hyperlink" Target="tx.dll?d=151431&amp;a=5" TargetMode="External"/><Relationship Id="rId37" Type="http://schemas.openxmlformats.org/officeDocument/2006/relationships/hyperlink" Target="tx.dll?d=45363&amp;a=20" TargetMode="External"/><Relationship Id="rId40" Type="http://schemas.openxmlformats.org/officeDocument/2006/relationships/hyperlink" Target="tx.dll?d=284977&amp;a=4" TargetMode="External"/><Relationship Id="rId45" Type="http://schemas.openxmlformats.org/officeDocument/2006/relationships/hyperlink" Target="tx.dll?d=118379&amp;a=2" TargetMode="External"/><Relationship Id="rId53" Type="http://schemas.openxmlformats.org/officeDocument/2006/relationships/hyperlink" Target="tx.dll?d=143191&amp;a=135" TargetMode="External"/><Relationship Id="rId58" Type="http://schemas.openxmlformats.org/officeDocument/2006/relationships/hyperlink" Target="tx.dll?d=114036&amp;a=13" TargetMode="External"/><Relationship Id="rId66" Type="http://schemas.openxmlformats.org/officeDocument/2006/relationships/hyperlink" Target="tx.dll?d=116507&amp;a=103" TargetMode="External"/><Relationship Id="rId74" Type="http://schemas.openxmlformats.org/officeDocument/2006/relationships/hyperlink" Target="tx.dll?d=276041&amp;a=69" TargetMode="External"/><Relationship Id="rId79" Type="http://schemas.openxmlformats.org/officeDocument/2006/relationships/hyperlink" Target="tx.dll?d=410620&amp;a=215" TargetMode="External"/><Relationship Id="rId87" Type="http://schemas.openxmlformats.org/officeDocument/2006/relationships/theme" Target="theme/theme1.xml"/><Relationship Id="rId5" Type="http://schemas.openxmlformats.org/officeDocument/2006/relationships/hyperlink" Target="tx.dll?d=254572&amp;a=2" TargetMode="External"/><Relationship Id="rId61" Type="http://schemas.openxmlformats.org/officeDocument/2006/relationships/hyperlink" Target="tx.dll?d=117157&amp;a=448" TargetMode="External"/><Relationship Id="rId82" Type="http://schemas.openxmlformats.org/officeDocument/2006/relationships/hyperlink" Target="tx.dll?d=254572&amp;a=2" TargetMode="External"/><Relationship Id="rId19" Type="http://schemas.openxmlformats.org/officeDocument/2006/relationships/hyperlink" Target="tx.dll?d=465339&amp;a=55" TargetMode="External"/><Relationship Id="rId4" Type="http://schemas.openxmlformats.org/officeDocument/2006/relationships/hyperlink" Target="tx.dll?d=149926&amp;a=239" TargetMode="External"/><Relationship Id="rId9" Type="http://schemas.openxmlformats.org/officeDocument/2006/relationships/hyperlink" Target="tx.dll?d=251359&amp;a=2" TargetMode="External"/><Relationship Id="rId14" Type="http://schemas.openxmlformats.org/officeDocument/2006/relationships/hyperlink" Target="tx.dll?d=460279&amp;a=205" TargetMode="External"/><Relationship Id="rId22" Type="http://schemas.openxmlformats.org/officeDocument/2006/relationships/hyperlink" Target="tx.dll?d=251359&amp;a=2" TargetMode="External"/><Relationship Id="rId27" Type="http://schemas.openxmlformats.org/officeDocument/2006/relationships/hyperlink" Target="tx.dll?d=254572&amp;a=2" TargetMode="External"/><Relationship Id="rId30" Type="http://schemas.openxmlformats.org/officeDocument/2006/relationships/hyperlink" Target="tx.dll?d=198894&amp;a=1" TargetMode="External"/><Relationship Id="rId35" Type="http://schemas.openxmlformats.org/officeDocument/2006/relationships/hyperlink" Target="tx.dll?d=44519&amp;a=50" TargetMode="External"/><Relationship Id="rId43" Type="http://schemas.openxmlformats.org/officeDocument/2006/relationships/hyperlink" Target="tx.dll?d=33380&amp;a=8514" TargetMode="External"/><Relationship Id="rId48" Type="http://schemas.openxmlformats.org/officeDocument/2006/relationships/hyperlink" Target="tx.dll?d=116507&amp;a=99" TargetMode="External"/><Relationship Id="rId56" Type="http://schemas.openxmlformats.org/officeDocument/2006/relationships/hyperlink" Target="tx.dll?d=116507&amp;a=132" TargetMode="External"/><Relationship Id="rId64" Type="http://schemas.openxmlformats.org/officeDocument/2006/relationships/hyperlink" Target="tx.dll?d=117157&amp;a=449" TargetMode="External"/><Relationship Id="rId69" Type="http://schemas.openxmlformats.org/officeDocument/2006/relationships/hyperlink" Target="tx.dll?d=33380&amp;a=1361" TargetMode="External"/><Relationship Id="rId77" Type="http://schemas.openxmlformats.org/officeDocument/2006/relationships/hyperlink" Target="tx.dll?d=410620&amp;a=215" TargetMode="External"/><Relationship Id="rId8" Type="http://schemas.openxmlformats.org/officeDocument/2006/relationships/hyperlink" Target="tx.dll?d=460279&amp;a=179" TargetMode="External"/><Relationship Id="rId51" Type="http://schemas.openxmlformats.org/officeDocument/2006/relationships/hyperlink" Target="tx.dll?d=116507&amp;a=131" TargetMode="External"/><Relationship Id="rId72" Type="http://schemas.openxmlformats.org/officeDocument/2006/relationships/hyperlink" Target="tx.dll?d=33380&amp;a=2579" TargetMode="External"/><Relationship Id="rId80" Type="http://schemas.openxmlformats.org/officeDocument/2006/relationships/hyperlink" Target="tx.dll?d=254572&amp;a=2" TargetMode="External"/><Relationship Id="rId85" Type="http://schemas.openxmlformats.org/officeDocument/2006/relationships/hyperlink" Target="tx.dll?d=469289&amp;a=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tx.dll?d=555360&amp;a=2" TargetMode="External"/><Relationship Id="rId17" Type="http://schemas.openxmlformats.org/officeDocument/2006/relationships/hyperlink" Target="tx.dll?d=149926&amp;a=268" TargetMode="External"/><Relationship Id="rId25" Type="http://schemas.openxmlformats.org/officeDocument/2006/relationships/hyperlink" Target="tx.dll?d=251359&amp;a=2" TargetMode="External"/><Relationship Id="rId33" Type="http://schemas.openxmlformats.org/officeDocument/2006/relationships/hyperlink" Target="tx.dll?d=33380&amp;a=2092" TargetMode="External"/><Relationship Id="rId38" Type="http://schemas.openxmlformats.org/officeDocument/2006/relationships/hyperlink" Target="tx.dll?d=33380&amp;a=2092" TargetMode="External"/><Relationship Id="rId46" Type="http://schemas.openxmlformats.org/officeDocument/2006/relationships/hyperlink" Target="tx.dll?d=33380&amp;a=2591" TargetMode="External"/><Relationship Id="rId59" Type="http://schemas.openxmlformats.org/officeDocument/2006/relationships/hyperlink" Target="tx.dll?d=33380&amp;a=6924" TargetMode="External"/><Relationship Id="rId67" Type="http://schemas.openxmlformats.org/officeDocument/2006/relationships/hyperlink" Target="tx.dll?d=33380&amp;a=1447" TargetMode="External"/><Relationship Id="rId20" Type="http://schemas.openxmlformats.org/officeDocument/2006/relationships/hyperlink" Target="tx.dll?d=465339&amp;a=17" TargetMode="External"/><Relationship Id="rId41" Type="http://schemas.openxmlformats.org/officeDocument/2006/relationships/hyperlink" Target="tx.dll?d=465339&amp;a=76" TargetMode="External"/><Relationship Id="rId54" Type="http://schemas.openxmlformats.org/officeDocument/2006/relationships/hyperlink" Target="tx.dll?d=116507&amp;a=102" TargetMode="External"/><Relationship Id="rId62" Type="http://schemas.openxmlformats.org/officeDocument/2006/relationships/hyperlink" Target="tx.dll?d=284980&amp;a=32" TargetMode="External"/><Relationship Id="rId70" Type="http://schemas.openxmlformats.org/officeDocument/2006/relationships/hyperlink" Target="tx.dll?d=33380&amp;a=2092" TargetMode="External"/><Relationship Id="rId75" Type="http://schemas.openxmlformats.org/officeDocument/2006/relationships/hyperlink" Target="tx.dll?d=444978&amp;a=52" TargetMode="External"/><Relationship Id="rId83" Type="http://schemas.openxmlformats.org/officeDocument/2006/relationships/hyperlink" Target="tx.dll?d=254572&amp;a=2" TargetMode="External"/><Relationship Id="rId1" Type="http://schemas.openxmlformats.org/officeDocument/2006/relationships/styles" Target="styles.xml"/><Relationship Id="rId6" Type="http://schemas.openxmlformats.org/officeDocument/2006/relationships/hyperlink" Target="tx.dll?d=149926&amp;a=227" TargetMode="External"/><Relationship Id="rId15" Type="http://schemas.openxmlformats.org/officeDocument/2006/relationships/hyperlink" Target="tx.dll?d=460279&amp;a=361" TargetMode="External"/><Relationship Id="rId23" Type="http://schemas.openxmlformats.org/officeDocument/2006/relationships/hyperlink" Target="tx.dll?d=251359&amp;a=2" TargetMode="External"/><Relationship Id="rId28" Type="http://schemas.openxmlformats.org/officeDocument/2006/relationships/hyperlink" Target="tx.dll?d=254572&amp;a=2" TargetMode="External"/><Relationship Id="rId36" Type="http://schemas.openxmlformats.org/officeDocument/2006/relationships/hyperlink" Target="tx.dll?d=549812&amp;a=1" TargetMode="External"/><Relationship Id="rId49" Type="http://schemas.openxmlformats.org/officeDocument/2006/relationships/hyperlink" Target="tx.dll?d=117157&amp;a=347" TargetMode="External"/><Relationship Id="rId57" Type="http://schemas.openxmlformats.org/officeDocument/2006/relationships/hyperlink" Target="tx.dll?d=117157&amp;a=447" TargetMode="External"/><Relationship Id="rId10" Type="http://schemas.openxmlformats.org/officeDocument/2006/relationships/hyperlink" Target="tx.dll?d=222837&amp;a=2" TargetMode="External"/><Relationship Id="rId31" Type="http://schemas.openxmlformats.org/officeDocument/2006/relationships/hyperlink" Target="tx.dll?d=134849&amp;a=310" TargetMode="External"/><Relationship Id="rId44" Type="http://schemas.openxmlformats.org/officeDocument/2006/relationships/hyperlink" Target="tx.dll?d=33380&amp;a=8410" TargetMode="External"/><Relationship Id="rId52" Type="http://schemas.openxmlformats.org/officeDocument/2006/relationships/hyperlink" Target="tx.dll?d=117157&amp;a=446" TargetMode="External"/><Relationship Id="rId60" Type="http://schemas.openxmlformats.org/officeDocument/2006/relationships/hyperlink" Target="tx.dll?d=116507&amp;a=133" TargetMode="External"/><Relationship Id="rId65" Type="http://schemas.openxmlformats.org/officeDocument/2006/relationships/hyperlink" Target="tx.dll?d=282996&amp;a=2" TargetMode="External"/><Relationship Id="rId73" Type="http://schemas.openxmlformats.org/officeDocument/2006/relationships/hyperlink" Target="tx.dll?d=33380&amp;a=6993" TargetMode="External"/><Relationship Id="rId78" Type="http://schemas.openxmlformats.org/officeDocument/2006/relationships/hyperlink" Target="tx.dll?d=410620&amp;a=132" TargetMode="External"/><Relationship Id="rId81" Type="http://schemas.openxmlformats.org/officeDocument/2006/relationships/hyperlink" Target="tx.dll?d=254572&amp;a=2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2927</Words>
  <Characters>17856</Characters>
  <Application>Microsoft Office Word</Application>
  <DocSecurity>0</DocSecurity>
  <Lines>148</Lines>
  <Paragraphs>41</Paragraphs>
  <ScaleCrop>false</ScaleCrop>
  <Company>Reanimator Extreme Edition</Company>
  <LinksUpToDate>false</LinksUpToDate>
  <CharactersWithSpaces>20742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otipb</dc:creator>
  <cp:lastModifiedBy>otipb</cp:lastModifiedBy>
  <cp:revision>2</cp:revision>
  <cp:lastPrinted>2023-02-28T08:37:00Z</cp:lastPrinted>
  <dcterms:created xsi:type="dcterms:W3CDTF">2023-02-28T08:38:00Z</dcterms:created>
  <dcterms:modified xsi:type="dcterms:W3CDTF">2023-02-28T08:38:00Z</dcterms:modified>
</cp:coreProperties>
</file>