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E38" w:rsidRDefault="00941E38">
      <w:pPr>
        <w:pStyle w:val="ConsPlusNonformat"/>
        <w:rPr>
          <w:sz w:val="14"/>
          <w:szCs w:val="16"/>
        </w:rPr>
      </w:pPr>
      <w:r>
        <w:rPr>
          <w:sz w:val="14"/>
          <w:szCs w:val="16"/>
        </w:rPr>
        <w:t>┌────┬────────────────────────────────┬─────┬───────────┬─────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│    │                                │     │           │        │         │           │             │              Тара               │ Транс-  │         │          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 xml:space="preserve">│    │                                │     │           │        │         │           │Ограниченные ├──────────┬───────────┬──────────┤ </w:t>
      </w:r>
      <w:proofErr w:type="spellStart"/>
      <w:r w:rsidRPr="005C25DF">
        <w:rPr>
          <w:sz w:val="14"/>
          <w:szCs w:val="16"/>
        </w:rPr>
        <w:t>портное</w:t>
      </w:r>
      <w:proofErr w:type="spellEnd"/>
      <w:r w:rsidRPr="005C25DF">
        <w:rPr>
          <w:sz w:val="14"/>
          <w:szCs w:val="16"/>
        </w:rPr>
        <w:t xml:space="preserve"> │         │</w:t>
      </w:r>
      <w:proofErr w:type="spellStart"/>
      <w:r w:rsidRPr="005C25DF">
        <w:rPr>
          <w:sz w:val="14"/>
          <w:szCs w:val="16"/>
        </w:rPr>
        <w:t>Идентифика</w:t>
      </w:r>
      <w:proofErr w:type="spellEnd"/>
      <w:r w:rsidRPr="005C25DF">
        <w:rPr>
          <w:sz w:val="14"/>
          <w:szCs w:val="16"/>
        </w:rPr>
        <w:t>-│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│ N  │                                │     │</w:t>
      </w:r>
      <w:proofErr w:type="spellStart"/>
      <w:r w:rsidRPr="005C25DF">
        <w:rPr>
          <w:sz w:val="14"/>
          <w:szCs w:val="16"/>
        </w:rPr>
        <w:t>Классифик</w:t>
      </w:r>
      <w:proofErr w:type="gramStart"/>
      <w:r w:rsidRPr="005C25DF">
        <w:rPr>
          <w:sz w:val="14"/>
          <w:szCs w:val="16"/>
        </w:rPr>
        <w:t>а</w:t>
      </w:r>
      <w:proofErr w:type="spellEnd"/>
      <w:r w:rsidRPr="005C25DF">
        <w:rPr>
          <w:sz w:val="14"/>
          <w:szCs w:val="16"/>
        </w:rPr>
        <w:t>-</w:t>
      </w:r>
      <w:proofErr w:type="gramEnd"/>
      <w:r w:rsidRPr="005C25DF">
        <w:rPr>
          <w:sz w:val="14"/>
          <w:szCs w:val="16"/>
        </w:rPr>
        <w:t xml:space="preserve">│ Группа │  Знаки  │Специальные│    </w:t>
      </w:r>
      <w:hyperlink r:id="rId5" w:history="1">
        <w:r w:rsidRPr="005C25DF">
          <w:rPr>
            <w:color w:val="0000FF"/>
            <w:sz w:val="14"/>
            <w:szCs w:val="16"/>
          </w:rPr>
          <w:t>&lt;2&gt;</w:t>
        </w:r>
      </w:hyperlink>
      <w:r w:rsidRPr="005C25DF">
        <w:rPr>
          <w:sz w:val="14"/>
          <w:szCs w:val="16"/>
        </w:rPr>
        <w:t xml:space="preserve"> и    │          │           │положения │средство │ Транс-  │  </w:t>
      </w:r>
      <w:proofErr w:type="spellStart"/>
      <w:r w:rsidRPr="005C25DF">
        <w:rPr>
          <w:sz w:val="14"/>
          <w:szCs w:val="16"/>
        </w:rPr>
        <w:t>ционный</w:t>
      </w:r>
      <w:proofErr w:type="spellEnd"/>
      <w:r w:rsidRPr="005C25DF">
        <w:rPr>
          <w:sz w:val="14"/>
          <w:szCs w:val="16"/>
        </w:rPr>
        <w:t xml:space="preserve"> 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 xml:space="preserve">│ООН │    Наименование и описание     │Класс│  </w:t>
      </w:r>
      <w:proofErr w:type="spellStart"/>
      <w:r w:rsidRPr="005C25DF">
        <w:rPr>
          <w:sz w:val="14"/>
          <w:szCs w:val="16"/>
        </w:rPr>
        <w:t>ционный</w:t>
      </w:r>
      <w:proofErr w:type="spellEnd"/>
      <w:r w:rsidRPr="005C25DF">
        <w:rPr>
          <w:sz w:val="14"/>
          <w:szCs w:val="16"/>
        </w:rPr>
        <w:t xml:space="preserve">  │</w:t>
      </w:r>
      <w:proofErr w:type="spellStart"/>
      <w:r w:rsidRPr="005C25DF">
        <w:rPr>
          <w:sz w:val="14"/>
          <w:szCs w:val="16"/>
        </w:rPr>
        <w:t>упаковки│опасности</w:t>
      </w:r>
      <w:proofErr w:type="spellEnd"/>
      <w:r w:rsidRPr="005C25DF">
        <w:rPr>
          <w:sz w:val="14"/>
          <w:szCs w:val="16"/>
        </w:rPr>
        <w:t xml:space="preserve">│ </w:t>
      </w:r>
      <w:proofErr w:type="gramStart"/>
      <w:r w:rsidRPr="005C25DF">
        <w:rPr>
          <w:sz w:val="14"/>
          <w:szCs w:val="16"/>
        </w:rPr>
        <w:t>положения</w:t>
      </w:r>
      <w:proofErr w:type="gramEnd"/>
      <w:r w:rsidRPr="005C25DF">
        <w:rPr>
          <w:sz w:val="14"/>
          <w:szCs w:val="16"/>
        </w:rPr>
        <w:t xml:space="preserve"> │</w:t>
      </w:r>
      <w:proofErr w:type="spellStart"/>
      <w:r w:rsidRPr="005C25DF">
        <w:rPr>
          <w:sz w:val="14"/>
          <w:szCs w:val="16"/>
        </w:rPr>
        <w:t>освобожденные│инструкции│специальные</w:t>
      </w:r>
      <w:proofErr w:type="spellEnd"/>
      <w:r w:rsidRPr="005C25DF">
        <w:rPr>
          <w:sz w:val="14"/>
          <w:szCs w:val="16"/>
        </w:rPr>
        <w:t xml:space="preserve">│    по    │   для   │ </w:t>
      </w:r>
      <w:proofErr w:type="spellStart"/>
      <w:r w:rsidRPr="005C25DF">
        <w:rPr>
          <w:sz w:val="14"/>
          <w:szCs w:val="16"/>
        </w:rPr>
        <w:t>портная</w:t>
      </w:r>
      <w:proofErr w:type="spellEnd"/>
      <w:r w:rsidRPr="005C25DF">
        <w:rPr>
          <w:sz w:val="14"/>
          <w:szCs w:val="16"/>
        </w:rPr>
        <w:t xml:space="preserve"> │   номер  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 xml:space="preserve">│    │                                │     │    код    │        │         │    </w:t>
      </w:r>
      <w:hyperlink r:id="rId6" w:history="1">
        <w:r w:rsidRPr="005C25DF">
          <w:rPr>
            <w:color w:val="0000FF"/>
            <w:sz w:val="14"/>
            <w:szCs w:val="16"/>
          </w:rPr>
          <w:t>&lt;1&gt;</w:t>
        </w:r>
      </w:hyperlink>
      <w:r w:rsidRPr="005C25DF">
        <w:rPr>
          <w:sz w:val="14"/>
          <w:szCs w:val="16"/>
        </w:rPr>
        <w:t xml:space="preserve">    │ количества  │    по    │ положения │</w:t>
      </w:r>
      <w:proofErr w:type="spellStart"/>
      <w:r w:rsidRPr="005C25DF">
        <w:rPr>
          <w:sz w:val="14"/>
          <w:szCs w:val="16"/>
        </w:rPr>
        <w:t>совместной│перевозки│категория</w:t>
      </w:r>
      <w:proofErr w:type="spellEnd"/>
      <w:r w:rsidRPr="005C25DF">
        <w:rPr>
          <w:sz w:val="14"/>
          <w:szCs w:val="16"/>
        </w:rPr>
        <w:t>│ опасности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 xml:space="preserve">│    │                                │     │           │        │         │           │     </w:t>
      </w:r>
      <w:hyperlink r:id="rId7" w:history="1">
        <w:r w:rsidRPr="005C25DF">
          <w:rPr>
            <w:color w:val="0000FF"/>
            <w:sz w:val="14"/>
            <w:szCs w:val="16"/>
          </w:rPr>
          <w:t>&lt;3&gt;</w:t>
        </w:r>
      </w:hyperlink>
      <w:r w:rsidRPr="005C25DF">
        <w:rPr>
          <w:sz w:val="14"/>
          <w:szCs w:val="16"/>
        </w:rPr>
        <w:t xml:space="preserve">     │ упаковке │по упаковке│ </w:t>
      </w:r>
      <w:proofErr w:type="gramStart"/>
      <w:r w:rsidRPr="005C25DF">
        <w:rPr>
          <w:sz w:val="14"/>
          <w:szCs w:val="16"/>
        </w:rPr>
        <w:t>упаковке</w:t>
      </w:r>
      <w:proofErr w:type="gramEnd"/>
      <w:r w:rsidRPr="005C25DF">
        <w:rPr>
          <w:sz w:val="14"/>
          <w:szCs w:val="16"/>
        </w:rPr>
        <w:t xml:space="preserve"> │    в    │         │          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│    │                                │     │           │        │         │           │             │          │           │          │</w:t>
      </w:r>
      <w:proofErr w:type="gramStart"/>
      <w:r w:rsidRPr="005C25DF">
        <w:rPr>
          <w:sz w:val="14"/>
          <w:szCs w:val="16"/>
        </w:rPr>
        <w:t>цистернах</w:t>
      </w:r>
      <w:proofErr w:type="gramEnd"/>
      <w:r w:rsidRPr="005C25DF">
        <w:rPr>
          <w:sz w:val="14"/>
          <w:szCs w:val="16"/>
        </w:rPr>
        <w:t>│         │          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├────┼────────────────────────────────┼─────┼───────────┼────────┼─────────┼───────────┼─────────────┼──────────┼───────────┼──────────┼─────────┼─────────┼───────────┤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│(1) │              (2)               │ (3) │    (4)    │  (5)   │   (6)   │    (7)    │     (8)     │   (9)    │   (10)    │   (11)   │  (12)   │  (13)   │   (14)   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├────┼────────────────────────────────┼─────┼───────────┼────────┼─────────┼───────────┼─────────────┼──────────┼───────────┼──────────┼─────────┼─────────┼───────────┤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├────┼────────────────────────────────┼─────┼───────────┼────────┼─────────┼───────────┼─────────────┼──────────┼───────────┼──────────┼─────────┼─────────┼───────────┤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│1006│АРГОН СЖАТЫЙ                    │  2  │    1A     │        │   2.2   │           │     LQ1     │   P200   │           │   MP9    │   AT    │    3    │    20    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│    │                                │     │           │        │         │           │     E1      │          │           │          │         │         │          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├────┼────────────────────────────────┼─────┼───────────┼────────┼─────────┼───────────┼─────────────┼──────────┼───────────┼──────────┼─────────┼─────────┼───────────┤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├────┼────────────────────────────────┼─────┼───────────┼────────┼─────────┼───────────┼─────────────┼──────────┼───────────┼──────────┼─────────┼─────────┼───────────┤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│1011│БУТАН                           │  2  │    2F     │        │   2.1   │    652    │     LQ0     │   P200   │           │   MP9    │   FL    │    2    │    23    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│    │                                │     │           │        │         │           │     E0      │          │           │          │         │         │          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├────┼────────────────────────────────┼─────┼───────────┼────────┼─────────┼───────────┼─────────────┼──────────┼───────────┼──────────┼─────────┼─────────┼───────────┤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├────┼────────────────────────────────┼─────┼───────────┼────────┼─────────┼───────────┼─────────────┼──────────┼───────────┼──────────┼─────────┼─────────┼───────────┤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│1013│УГЛЕРОДА ДИОКСИД                │  2  │    2A     │        │   2.2   │    584    │     LQ1     │   P200   │           │   MP9    │   AT    │    3    │    20    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│    │                                │     │           │        │         │    653    │     E1      │          │           │          │         │         │          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├────┼────────────────────────────────┼─────┼───────────┼────────┼─────────┼───────────┼─────────────┼──────────┼───────────┼──────────┼─────────┼─────────┼───────────┤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├────┼────────────────────────────────┼─────┼───────────┼────────┼─────────┼───────────┼─────────────┼──────────┼───────────┼──────────┼─────────┼─────────┼───────────┤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│1066│АЗОТ СЖАТЫЙ                     │  2  │    1A     │        │   2.2   │           │     LQ1     │   P200   │           │   MP9    │   AT    │    3    │    20    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│    │                                │     │           │        │         │           │     E1      │          │           │          │         │         │          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├────┼────────────────────────────────┼─────┼───────────┼────────┼─────────┼───────────┼─────────────┼──────────┼───────────┼──────────┼─────────┼─────────┼───────────┤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├────┼────────────────────────────────┼─────┼───────────┼────────┼─────────┼───────────┼─────────────┼──────────┼───────────┼──────────┼─────────┼─────────┼───────────┤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│1072│КИСЛОРОД СЖАТЫЙ                 │  2  │    1O     │        │   2.2   │           │     LQ0     │   P200   │           │   MP9    │   AT    │    3    │    25    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│    │                                │     │           │        │  +5.1   │           │     E0      │          │           │          │         │         │           │</w:t>
      </w:r>
    </w:p>
    <w:p w:rsidR="005C25DF" w:rsidRPr="005C25DF" w:rsidRDefault="005C25DF">
      <w:pPr>
        <w:pStyle w:val="ConsPlusNonformat"/>
        <w:rPr>
          <w:sz w:val="14"/>
          <w:szCs w:val="16"/>
        </w:rPr>
      </w:pPr>
      <w:r w:rsidRPr="005C25DF">
        <w:rPr>
          <w:sz w:val="14"/>
          <w:szCs w:val="16"/>
        </w:rPr>
        <w:t>├────┼────────────────────────────────┼─────┼───────────┼────────┼─────────┼───────────┼─────────────┼──────────┼───────────┼──────────┼─────────┼─────────┼───────────┤</w:t>
      </w:r>
    </w:p>
    <w:p w:rsidR="006F58AF" w:rsidRDefault="006F58AF">
      <w:pPr>
        <w:rPr>
          <w:sz w:val="20"/>
        </w:rPr>
      </w:pP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Количество опасных грузов, упакованных в ограниченных количествах, освобождаемых от действия настоящих Правил</w:t>
      </w: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ourier New" w:hAnsi="Courier New" w:cs="Courier New"/>
          <w:sz w:val="16"/>
          <w:szCs w:val="16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320"/>
        <w:gridCol w:w="2040"/>
        <w:gridCol w:w="2040"/>
        <w:gridCol w:w="2040"/>
        <w:gridCol w:w="2040"/>
      </w:tblGrid>
      <w:tr w:rsidR="00137E25">
        <w:trPr>
          <w:trHeight w:val="1000"/>
          <w:tblCellSpacing w:w="5" w:type="nil"/>
        </w:trPr>
        <w:tc>
          <w:tcPr>
            <w:tcW w:w="13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Код    </w:t>
            </w:r>
          </w:p>
        </w:tc>
        <w:tc>
          <w:tcPr>
            <w:tcW w:w="4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Комбинированная тара </w:t>
            </w:r>
            <w:hyperlink w:anchor="Par7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&lt;0&gt;</w:t>
              </w:r>
            </w:hyperlink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Максимальное количество нетто </w:t>
            </w:r>
          </w:p>
        </w:tc>
        <w:tc>
          <w:tcPr>
            <w:tcW w:w="4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Внутренняя тара, помещенная  </w:t>
            </w: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в лотки, обернутые       </w:t>
            </w: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в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термоусадочный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материал   </w:t>
            </w: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или растягивающуюся пленку </w:t>
            </w:r>
            <w:hyperlink w:anchor="Par7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&lt;0&gt;</w:t>
              </w:r>
            </w:hyperlink>
          </w:p>
        </w:tc>
      </w:tr>
      <w:tr w:rsidR="00137E25">
        <w:trPr>
          <w:trHeight w:val="400"/>
          <w:tblCellSpacing w:w="5" w:type="nil"/>
        </w:trPr>
        <w:tc>
          <w:tcPr>
            <w:tcW w:w="13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на внутреннюю </w:t>
            </w: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тару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упаковку </w:t>
            </w:r>
            <w:hyperlink w:anchor="Par7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на внутреннюю </w:t>
            </w: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тару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упаковку </w:t>
            </w:r>
            <w:hyperlink w:anchor="Par7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2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3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4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5       </w:t>
            </w:r>
          </w:p>
        </w:tc>
      </w:tr>
      <w:tr w:rsidR="00137E25">
        <w:trPr>
          <w:trHeight w:val="4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LQ0      </w:t>
            </w:r>
          </w:p>
        </w:tc>
        <w:tc>
          <w:tcPr>
            <w:tcW w:w="8160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Освобождение от действия правил не применяется         </w:t>
            </w: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согласно </w:t>
            </w:r>
            <w:hyperlink r:id="rId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пункту 2 примечания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к таблице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LQ1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120 мл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120 мл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LQ2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1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1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LQ3 </w:t>
            </w:r>
            <w:hyperlink w:anchor="Par7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500 мл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1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 разрешается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 разрешается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LQ4 </w:t>
            </w:r>
            <w:hyperlink w:anchor="Par7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3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1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LQ5 </w:t>
            </w:r>
            <w:hyperlink w:anchor="Par7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5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без ограничений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1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LQ6 </w:t>
            </w:r>
            <w:hyperlink w:anchor="Par7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5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1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LQ7 </w:t>
            </w:r>
            <w:hyperlink w:anchor="Par7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5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5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LQ8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3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500 г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LQ9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3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LQ10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500 мл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500 мл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LQ11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500 г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500 г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LQ12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LQ13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1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1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LQ14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25 мл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25 мл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LQ15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100 г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100 г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LQ16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125 мл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125 мл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LQ17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500 мл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2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100 мл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2 л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LQ18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4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500 г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4 кг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LQ19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5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5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LQ20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зарезервировано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зарезервировано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зарезервировано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зарезервировано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LQ21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зарезервировано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зарезервировано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зарезервировано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зарезервировано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LQ22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1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500 мл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LQ23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3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LQ24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2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LQ25 </w:t>
            </w:r>
            <w:hyperlink w:anchor="Par8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1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LQ26 </w:t>
            </w:r>
            <w:hyperlink w:anchor="Par8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500 мл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2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500 мл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2 л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LQ27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 кг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  <w:tr w:rsidR="00137E25"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LQ28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3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3 л   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-       </w:t>
            </w:r>
          </w:p>
        </w:tc>
      </w:tr>
    </w:tbl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--------------------------------</w:t>
      </w: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  <w:bookmarkStart w:id="0" w:name="Par74"/>
      <w:bookmarkEnd w:id="0"/>
      <w:r>
        <w:rPr>
          <w:rFonts w:ascii="Courier New" w:hAnsi="Courier New" w:cs="Courier New"/>
          <w:sz w:val="16"/>
          <w:szCs w:val="16"/>
        </w:rPr>
        <w:t xml:space="preserve">&lt;0&gt; Максимальная масса брутто комбинированной тары не должна превышать 30 кг, а для лотков, обернутых в </w:t>
      </w:r>
      <w:proofErr w:type="spellStart"/>
      <w:r>
        <w:rPr>
          <w:rFonts w:ascii="Courier New" w:hAnsi="Courier New" w:cs="Courier New"/>
          <w:sz w:val="16"/>
          <w:szCs w:val="16"/>
        </w:rPr>
        <w:t>термоусадочный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материал или растягивающуюся пленку, она не должна превышать 20 кг.</w:t>
      </w: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Примечание. Предельное значение для комбинированной тары не применяется, когда назначен код "LQ5".</w:t>
      </w: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--------------------------------</w:t>
      </w: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  <w:bookmarkStart w:id="1" w:name="Par78"/>
      <w:bookmarkEnd w:id="1"/>
      <w:r>
        <w:rPr>
          <w:rFonts w:ascii="Courier New" w:hAnsi="Courier New" w:cs="Courier New"/>
          <w:sz w:val="16"/>
          <w:szCs w:val="16"/>
        </w:rPr>
        <w:t>&lt;1</w:t>
      </w:r>
      <w:proofErr w:type="gramStart"/>
      <w:r>
        <w:rPr>
          <w:rFonts w:ascii="Courier New" w:hAnsi="Courier New" w:cs="Courier New"/>
          <w:sz w:val="16"/>
          <w:szCs w:val="16"/>
        </w:rPr>
        <w:t>&gt; П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ри соблюдении максимальных предельных значений, указанных в </w:t>
      </w:r>
      <w:hyperlink w:anchor="Par74" w:history="1">
        <w:r>
          <w:rPr>
            <w:rFonts w:ascii="Courier New" w:hAnsi="Courier New" w:cs="Courier New"/>
            <w:color w:val="0000FF"/>
            <w:sz w:val="16"/>
            <w:szCs w:val="16"/>
          </w:rPr>
          <w:t>пункте 0</w:t>
        </w:r>
      </w:hyperlink>
      <w:r>
        <w:rPr>
          <w:rFonts w:ascii="Courier New" w:hAnsi="Courier New" w:cs="Courier New"/>
          <w:sz w:val="16"/>
          <w:szCs w:val="16"/>
        </w:rPr>
        <w:t xml:space="preserve"> и индивидуальных предельных значений, указанных в </w:t>
      </w:r>
      <w:hyperlink r:id="rId9" w:history="1">
        <w:r>
          <w:rPr>
            <w:rFonts w:ascii="Courier New" w:hAnsi="Courier New" w:cs="Courier New"/>
            <w:color w:val="0000FF"/>
            <w:sz w:val="16"/>
            <w:szCs w:val="16"/>
          </w:rPr>
          <w:t>таблице 1</w:t>
        </w:r>
      </w:hyperlink>
      <w:r>
        <w:rPr>
          <w:rFonts w:ascii="Courier New" w:hAnsi="Courier New" w:cs="Courier New"/>
          <w:sz w:val="16"/>
          <w:szCs w:val="16"/>
        </w:rPr>
        <w:t>, опасные грузы могут упаковываться совместно с другими изделиями или веществами при условии, что в случае утечки они не вступят друг с другом в опасную реакцию.</w:t>
      </w: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  <w:bookmarkStart w:id="2" w:name="Par79"/>
      <w:bookmarkEnd w:id="2"/>
      <w:r>
        <w:rPr>
          <w:rFonts w:ascii="Courier New" w:hAnsi="Courier New" w:cs="Courier New"/>
          <w:sz w:val="16"/>
          <w:szCs w:val="16"/>
        </w:rPr>
        <w:t>&lt;2</w:t>
      </w:r>
      <w:proofErr w:type="gramStart"/>
      <w:r>
        <w:rPr>
          <w:rFonts w:ascii="Courier New" w:hAnsi="Courier New" w:cs="Courier New"/>
          <w:sz w:val="16"/>
          <w:szCs w:val="16"/>
        </w:rPr>
        <w:t>&gt; В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случае однородных смесей </w:t>
      </w:r>
      <w:hyperlink r:id="rId10" w:history="1">
        <w:r>
          <w:rPr>
            <w:rFonts w:ascii="Courier New" w:hAnsi="Courier New" w:cs="Courier New"/>
            <w:color w:val="0000FF"/>
            <w:sz w:val="16"/>
            <w:szCs w:val="16"/>
          </w:rPr>
          <w:t>класса 3</w:t>
        </w:r>
      </w:hyperlink>
      <w:r>
        <w:rPr>
          <w:rFonts w:ascii="Courier New" w:hAnsi="Courier New" w:cs="Courier New"/>
          <w:sz w:val="16"/>
          <w:szCs w:val="16"/>
        </w:rPr>
        <w:t xml:space="preserve">, содержащих воду, указанные количества относятся только к веществу </w:t>
      </w:r>
      <w:hyperlink r:id="rId11" w:history="1">
        <w:r>
          <w:rPr>
            <w:rFonts w:ascii="Courier New" w:hAnsi="Courier New" w:cs="Courier New"/>
            <w:color w:val="0000FF"/>
            <w:sz w:val="16"/>
            <w:szCs w:val="16"/>
          </w:rPr>
          <w:t>класса 3</w:t>
        </w:r>
      </w:hyperlink>
      <w:r>
        <w:rPr>
          <w:rFonts w:ascii="Courier New" w:hAnsi="Courier New" w:cs="Courier New"/>
          <w:sz w:val="16"/>
          <w:szCs w:val="16"/>
        </w:rPr>
        <w:t>, содержащемуся в этих смесях.</w:t>
      </w: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  <w:bookmarkStart w:id="3" w:name="Par80"/>
      <w:bookmarkEnd w:id="3"/>
      <w:r>
        <w:rPr>
          <w:rFonts w:ascii="Courier New" w:hAnsi="Courier New" w:cs="Courier New"/>
          <w:sz w:val="16"/>
          <w:szCs w:val="16"/>
        </w:rPr>
        <w:t>&lt;3</w:t>
      </w:r>
      <w:proofErr w:type="gramStart"/>
      <w:r>
        <w:rPr>
          <w:rFonts w:ascii="Courier New" w:hAnsi="Courier New" w:cs="Courier New"/>
          <w:sz w:val="16"/>
          <w:szCs w:val="16"/>
        </w:rPr>
        <w:t>&gt; К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огда вещества с N ООН </w:t>
      </w:r>
      <w:hyperlink r:id="rId12" w:history="1">
        <w:r>
          <w:rPr>
            <w:rFonts w:ascii="Courier New" w:hAnsi="Courier New" w:cs="Courier New"/>
            <w:color w:val="0000FF"/>
            <w:sz w:val="16"/>
            <w:szCs w:val="16"/>
          </w:rPr>
          <w:t>2315</w:t>
        </w:r>
      </w:hyperlink>
      <w:r>
        <w:rPr>
          <w:rFonts w:ascii="Courier New" w:hAnsi="Courier New" w:cs="Courier New"/>
          <w:sz w:val="16"/>
          <w:szCs w:val="16"/>
        </w:rPr>
        <w:t xml:space="preserve">, </w:t>
      </w:r>
      <w:hyperlink r:id="rId13" w:history="1">
        <w:r>
          <w:rPr>
            <w:rFonts w:ascii="Courier New" w:hAnsi="Courier New" w:cs="Courier New"/>
            <w:color w:val="0000FF"/>
            <w:sz w:val="16"/>
            <w:szCs w:val="16"/>
          </w:rPr>
          <w:t>3151</w:t>
        </w:r>
      </w:hyperlink>
      <w:r>
        <w:rPr>
          <w:rFonts w:ascii="Courier New" w:hAnsi="Courier New" w:cs="Courier New"/>
          <w:sz w:val="16"/>
          <w:szCs w:val="16"/>
        </w:rPr>
        <w:t xml:space="preserve">, </w:t>
      </w:r>
      <w:hyperlink r:id="rId14" w:history="1">
        <w:r>
          <w:rPr>
            <w:rFonts w:ascii="Courier New" w:hAnsi="Courier New" w:cs="Courier New"/>
            <w:color w:val="0000FF"/>
            <w:sz w:val="16"/>
            <w:szCs w:val="16"/>
          </w:rPr>
          <w:t>3152</w:t>
        </w:r>
      </w:hyperlink>
      <w:r>
        <w:rPr>
          <w:rFonts w:ascii="Courier New" w:hAnsi="Courier New" w:cs="Courier New"/>
          <w:sz w:val="16"/>
          <w:szCs w:val="16"/>
        </w:rPr>
        <w:t xml:space="preserve"> и </w:t>
      </w:r>
      <w:hyperlink r:id="rId15" w:history="1">
        <w:r>
          <w:rPr>
            <w:rFonts w:ascii="Courier New" w:hAnsi="Courier New" w:cs="Courier New"/>
            <w:color w:val="0000FF"/>
            <w:sz w:val="16"/>
            <w:szCs w:val="16"/>
          </w:rPr>
          <w:t>3432</w:t>
        </w:r>
      </w:hyperlink>
      <w:r>
        <w:rPr>
          <w:rFonts w:ascii="Courier New" w:hAnsi="Courier New" w:cs="Courier New"/>
          <w:sz w:val="16"/>
          <w:szCs w:val="16"/>
        </w:rPr>
        <w:t xml:space="preserve"> перевозятся в приборах, значения количества на внутреннюю тару в расчете на один прибор не должны превышаться. Прибор должен перевозиться в герметичной таре, и готовая упаковка должна соответствовать требованиям маркировки, изложенным в </w:t>
      </w:r>
      <w:hyperlink r:id="rId16" w:history="1">
        <w:r>
          <w:rPr>
            <w:rFonts w:ascii="Courier New" w:hAnsi="Courier New" w:cs="Courier New"/>
            <w:color w:val="0000FF"/>
            <w:sz w:val="16"/>
            <w:szCs w:val="16"/>
          </w:rPr>
          <w:t>подпункте 4.3 пункта 4 примечания 2</w:t>
        </w:r>
      </w:hyperlink>
      <w:r>
        <w:rPr>
          <w:rFonts w:ascii="Courier New" w:hAnsi="Courier New" w:cs="Courier New"/>
          <w:sz w:val="16"/>
          <w:szCs w:val="16"/>
        </w:rPr>
        <w:t>.</w:t>
      </w: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Для упаковывания прибора не должны использоваться лотки, обернутые в </w:t>
      </w:r>
      <w:proofErr w:type="spellStart"/>
      <w:r>
        <w:rPr>
          <w:rFonts w:ascii="Courier New" w:hAnsi="Courier New" w:cs="Courier New"/>
          <w:sz w:val="16"/>
          <w:szCs w:val="16"/>
        </w:rPr>
        <w:t>термоусадочный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материал или растягивающуюся пленку.</w:t>
      </w: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&lt;3&gt; Примечание 3. Опасные грузы, упакованные в освобожденных количествах.</w:t>
      </w: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Освобожденные количества опасных грузов некоторых классов, кроме изделий, отвечающих положениям настоящей главы, не подпадают под действие каких-либо других положений ДОПОГ, за исключением:</w:t>
      </w: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a) требований главы 1.3 ДОПОГ, касающихся подготовки работников;</w:t>
      </w: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b) процедур классификации и критериев назначения группы упаковки, содержащихся в части 2 ДОПОГ;</w:t>
      </w: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c) требований к упаковке, содержащихся в пунктах 4.1.1.1, 4.1.1.2, 4.1.1.4 и 4.1.1.6 ДОПОГ.</w:t>
      </w: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Примечание. В случае радиоактивных материалов применяются требования, касающиеся радиоактивных материалов в освобожденных упаковках, предусмотренные в подразделе 1.7.1.5 ДОПОГ.</w:t>
      </w: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Опасные грузы, которые могут перевозиться в качестве освобожденных количеств в соответствии с положениями настоящей главы, обозначены в </w:t>
      </w:r>
      <w:hyperlink r:id="rId17" w:history="1">
        <w:r>
          <w:rPr>
            <w:rFonts w:ascii="Courier New" w:hAnsi="Courier New" w:cs="Courier New"/>
            <w:color w:val="0000FF"/>
            <w:sz w:val="16"/>
            <w:szCs w:val="16"/>
          </w:rPr>
          <w:t>колонке 8 таблицы</w:t>
        </w:r>
        <w:proofErr w:type="gramStart"/>
        <w:r>
          <w:rPr>
            <w:rFonts w:ascii="Courier New" w:hAnsi="Courier New" w:cs="Courier New"/>
            <w:color w:val="0000FF"/>
            <w:sz w:val="16"/>
            <w:szCs w:val="16"/>
          </w:rPr>
          <w:t xml:space="preserve"> А</w:t>
        </w:r>
        <w:proofErr w:type="gramEnd"/>
      </w:hyperlink>
      <w:r>
        <w:rPr>
          <w:rFonts w:ascii="Courier New" w:hAnsi="Courier New" w:cs="Courier New"/>
          <w:sz w:val="16"/>
          <w:szCs w:val="16"/>
        </w:rPr>
        <w:t xml:space="preserve"> следующим образом:</w:t>
      </w:r>
    </w:p>
    <w:p w:rsidR="00137E25" w:rsidRDefault="00137E25" w:rsidP="00137E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6"/>
          <w:szCs w:val="16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20"/>
        <w:gridCol w:w="3960"/>
        <w:gridCol w:w="4560"/>
      </w:tblGrid>
      <w:tr w:rsidR="00137E25">
        <w:trPr>
          <w:trHeight w:val="1000"/>
          <w:tblCellSpacing w:w="5" w:type="nil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Код 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Максимальное количество нетто </w:t>
            </w: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на внутреннюю тару (в граммах </w:t>
            </w:r>
            <w:proofErr w:type="gramEnd"/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для твердых веществ и в мл   </w:t>
            </w: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для жидкостей и газов)     </w:t>
            </w:r>
          </w:p>
        </w:tc>
        <w:tc>
          <w:tcPr>
            <w:tcW w:w="4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Максимальное количество нетто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на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наружную тару (в граммах для твердых</w:t>
            </w:r>
            <w:proofErr w:type="gramEnd"/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веществ и в мл для жидкостей и газов</w:t>
            </w: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либо сумма граммов и мл в случае  </w:t>
            </w:r>
          </w:p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смешанной упаковки)         </w:t>
            </w:r>
          </w:p>
        </w:tc>
      </w:tr>
      <w:tr w:rsidR="00137E25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E0 </w:t>
            </w:r>
          </w:p>
        </w:tc>
        <w:tc>
          <w:tcPr>
            <w:tcW w:w="85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Не допускаются в качестве освобожденного количества         </w:t>
            </w:r>
          </w:p>
        </w:tc>
      </w:tr>
      <w:tr w:rsidR="00137E25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E1 </w:t>
            </w:r>
          </w:p>
        </w:tc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30               </w:t>
            </w:r>
          </w:p>
        </w:tc>
        <w:tc>
          <w:tcPr>
            <w:tcW w:w="4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1000                </w:t>
            </w:r>
          </w:p>
        </w:tc>
      </w:tr>
      <w:tr w:rsidR="00137E25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E2 </w:t>
            </w:r>
          </w:p>
        </w:tc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30               </w:t>
            </w:r>
          </w:p>
        </w:tc>
        <w:tc>
          <w:tcPr>
            <w:tcW w:w="4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500                 </w:t>
            </w:r>
          </w:p>
        </w:tc>
      </w:tr>
      <w:tr w:rsidR="00137E25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E3 </w:t>
            </w:r>
          </w:p>
        </w:tc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30               </w:t>
            </w:r>
          </w:p>
        </w:tc>
        <w:tc>
          <w:tcPr>
            <w:tcW w:w="4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300                 </w:t>
            </w:r>
          </w:p>
        </w:tc>
      </w:tr>
      <w:tr w:rsidR="00137E25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E4 </w:t>
            </w:r>
          </w:p>
        </w:tc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1               </w:t>
            </w:r>
          </w:p>
        </w:tc>
        <w:tc>
          <w:tcPr>
            <w:tcW w:w="4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500                 </w:t>
            </w:r>
          </w:p>
        </w:tc>
      </w:tr>
      <w:tr w:rsidR="00137E25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E5 </w:t>
            </w:r>
          </w:p>
        </w:tc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1               </w:t>
            </w:r>
          </w:p>
        </w:tc>
        <w:tc>
          <w:tcPr>
            <w:tcW w:w="4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E25" w:rsidRDefault="00137E2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300                 </w:t>
            </w:r>
          </w:p>
        </w:tc>
      </w:tr>
    </w:tbl>
    <w:p w:rsidR="00137E25" w:rsidRPr="005C25DF" w:rsidRDefault="00137E25" w:rsidP="00137E25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</w:rPr>
      </w:pPr>
      <w:hyperlink r:id="rId18" w:history="1">
        <w:r w:rsidRPr="005C25DF">
          <w:rPr>
            <w:rFonts w:ascii="Calibri" w:hAnsi="Calibri" w:cs="Calibri"/>
            <w:i/>
            <w:iCs/>
            <w:color w:val="0000FF"/>
            <w:sz w:val="20"/>
          </w:rPr>
          <w:br/>
          <w:t>Постановление Министерства по чрезвычайным ситуациям Республики Беларусь от 08.12.2010 N 61 (ред. от 19.11.2014) "Об утверждении Правил по обеспечению безопасности перевозки опасных грузов автомобильным транспортом в Республике Беларусь" {</w:t>
        </w:r>
        <w:proofErr w:type="spellStart"/>
        <w:r w:rsidRPr="005C25DF">
          <w:rPr>
            <w:rFonts w:ascii="Calibri" w:hAnsi="Calibri" w:cs="Calibri"/>
            <w:i/>
            <w:iCs/>
            <w:color w:val="0000FF"/>
            <w:sz w:val="20"/>
          </w:rPr>
          <w:t>КонсультантПлюс</w:t>
        </w:r>
        <w:proofErr w:type="spellEnd"/>
        <w:r w:rsidRPr="005C25DF">
          <w:rPr>
            <w:rFonts w:ascii="Calibri" w:hAnsi="Calibri" w:cs="Calibri"/>
            <w:i/>
            <w:iCs/>
            <w:color w:val="0000FF"/>
            <w:sz w:val="20"/>
          </w:rPr>
          <w:t>}</w:t>
        </w:r>
        <w:r w:rsidRPr="005C25DF">
          <w:rPr>
            <w:rFonts w:ascii="Calibri" w:hAnsi="Calibri" w:cs="Calibri"/>
            <w:i/>
            <w:iCs/>
            <w:color w:val="0000FF"/>
            <w:sz w:val="20"/>
          </w:rPr>
          <w:br/>
        </w:r>
      </w:hyperlink>
    </w:p>
    <w:p w:rsidR="00137E25" w:rsidRPr="005C25DF" w:rsidRDefault="00137E25">
      <w:pPr>
        <w:rPr>
          <w:sz w:val="20"/>
        </w:rPr>
      </w:pPr>
      <w:bookmarkStart w:id="4" w:name="_GoBack"/>
      <w:bookmarkEnd w:id="4"/>
    </w:p>
    <w:sectPr w:rsidR="00137E25" w:rsidRPr="005C25DF" w:rsidSect="008E560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5DF"/>
    <w:rsid w:val="00084BE2"/>
    <w:rsid w:val="000A7931"/>
    <w:rsid w:val="00137E25"/>
    <w:rsid w:val="002A5043"/>
    <w:rsid w:val="003D0699"/>
    <w:rsid w:val="004F40C1"/>
    <w:rsid w:val="005A6044"/>
    <w:rsid w:val="005C25DF"/>
    <w:rsid w:val="006F58AF"/>
    <w:rsid w:val="00752126"/>
    <w:rsid w:val="007C3315"/>
    <w:rsid w:val="007F24BE"/>
    <w:rsid w:val="00902010"/>
    <w:rsid w:val="00941E38"/>
    <w:rsid w:val="00A16F38"/>
    <w:rsid w:val="00B704DF"/>
    <w:rsid w:val="00BD0C11"/>
    <w:rsid w:val="00BE3EA6"/>
    <w:rsid w:val="00C84A2F"/>
    <w:rsid w:val="00E73B1F"/>
    <w:rsid w:val="00EE7FD2"/>
    <w:rsid w:val="00F10ABB"/>
    <w:rsid w:val="00F45120"/>
    <w:rsid w:val="00F8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C25D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C25D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B49BFF7316B3688D95D3D24E4D40D0FCFC381234D4CE99A53557F5B8D0F81897B1BE8B8E328ECCDDA6CA3A4TCKAM" TargetMode="External"/><Relationship Id="rId13" Type="http://schemas.openxmlformats.org/officeDocument/2006/relationships/hyperlink" Target="consultantplus://offline/ref=558B49BFF7316B3688D95D3D24E4D40D0FCFC381234D4CE99A53557F5B8D0F81897B1BE8B8E328ECCDDA6AA7A6TCK8M" TargetMode="External"/><Relationship Id="rId18" Type="http://schemas.openxmlformats.org/officeDocument/2006/relationships/hyperlink" Target="consultantplus://offline/ref=EA4B504F7FCEDE6F4A361DB63AE897F5372E290B4F6CBF5638046D53D20ED76597DE08AE325CD557899F1E3FC1X6P9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A4B504F7FCEDE6F4A361DB63AE897F5372E290B4F6CBF5638046D53D20ED76597DE08AE325CD557899E183EC7X6P2L" TargetMode="External"/><Relationship Id="rId12" Type="http://schemas.openxmlformats.org/officeDocument/2006/relationships/hyperlink" Target="consultantplus://offline/ref=558B49BFF7316B3688D95D3D24E4D40D0FCFC381234D4CE99A53557F5B8D0F81897B1BE8B8E328ECCDDB60A1A1TCK5M" TargetMode="External"/><Relationship Id="rId17" Type="http://schemas.openxmlformats.org/officeDocument/2006/relationships/hyperlink" Target="consultantplus://offline/ref=558B49BFF7316B3688D95D3D24E4D40D0FCFC381234D4CE99A53557F5B8D0F81897B1BE8B8E328ECCDDB6AA1ACTCK5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558B49BFF7316B3688D95D3D24E4D40D0FCFC381234D4CE99A53557F5B8D0F81897B1BE8B8E328ECCDDA6CA3A5TCK4M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A4B504F7FCEDE6F4A361DB63AE897F5372E290B4F6CBF5638046D53D20ED76597DE08AE325CD557899E1838C7X6P1L" TargetMode="External"/><Relationship Id="rId11" Type="http://schemas.openxmlformats.org/officeDocument/2006/relationships/hyperlink" Target="consultantplus://offline/ref=558B49BFF7316B3688D95D3D24E4D40D0FCFC381234D4CE99A53557F5B8D0F81897B1BE8B8E328ECCDDB69A2A6TCK8M" TargetMode="External"/><Relationship Id="rId5" Type="http://schemas.openxmlformats.org/officeDocument/2006/relationships/hyperlink" Target="consultantplus://offline/ref=EA4B504F7FCEDE6F4A361DB63AE897F5372E290B4F6CBF5638046D53D20ED76597DE08AE325CD557899E183DC6X6P4L" TargetMode="External"/><Relationship Id="rId15" Type="http://schemas.openxmlformats.org/officeDocument/2006/relationships/hyperlink" Target="consultantplus://offline/ref=558B49BFF7316B3688D95D3D24E4D40D0FCFC381234D4CE99A53557F5B8D0F81897B1BE8B8E328ECCDDA6DA1A5TCKCM" TargetMode="External"/><Relationship Id="rId10" Type="http://schemas.openxmlformats.org/officeDocument/2006/relationships/hyperlink" Target="consultantplus://offline/ref=558B49BFF7316B3688D95D3D24E4D40D0FCFC381234D4CE99A53557F5B8D0F81897B1BE8B8E328ECCDDB69A2A6TCK8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58B49BFF7316B3688D95D3D24E4D40D0FCFC381234D4CE99A53557F5B8D0F81897B1BE8B8E328ECCDDA6CA3A7TCKFM" TargetMode="External"/><Relationship Id="rId14" Type="http://schemas.openxmlformats.org/officeDocument/2006/relationships/hyperlink" Target="consultantplus://offline/ref=558B49BFF7316B3688D95D3D24E4D40D0FCFC381234D4CE99A53557F5B8D0F81897B1BE8B8E328ECCDDA6AA7A6TCK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1973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2015-03-16T11:15:00Z</dcterms:created>
  <dcterms:modified xsi:type="dcterms:W3CDTF">2015-03-16T12:10:00Z</dcterms:modified>
</cp:coreProperties>
</file>